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4" w:rsidRPr="007B0E75" w:rsidRDefault="00142604" w:rsidP="00142604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9582885"/>
      <w:r w:rsidRPr="007B0E75">
        <w:rPr>
          <w:rFonts w:ascii="Arial" w:eastAsia="Arial" w:hAnsi="Arial" w:cs="Arial"/>
          <w:b/>
          <w:sz w:val="24"/>
          <w:szCs w:val="24"/>
        </w:rPr>
        <w:t xml:space="preserve">DOTTORATO </w:t>
      </w: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 w:rsidRPr="007B0E75">
        <w:rPr>
          <w:rFonts w:ascii="Arial" w:eastAsia="Arial" w:hAnsi="Arial" w:cs="Arial"/>
          <w:b/>
          <w:sz w:val="24"/>
          <w:szCs w:val="24"/>
        </w:rPr>
        <w:t xml:space="preserve"> RICERCA IN BIOLOGIA CELLULARE E DELLO SVILUPPO</w:t>
      </w:r>
    </w:p>
    <w:p w:rsidR="00142604" w:rsidRPr="007B0E75" w:rsidRDefault="00142604" w:rsidP="00142604">
      <w:pPr>
        <w:jc w:val="center"/>
        <w:rPr>
          <w:rFonts w:ascii="Arial" w:eastAsia="Arial" w:hAnsi="Arial" w:cs="Arial"/>
          <w:sz w:val="24"/>
          <w:szCs w:val="24"/>
        </w:rPr>
      </w:pPr>
    </w:p>
    <w:p w:rsidR="00142604" w:rsidRPr="007B0E75" w:rsidRDefault="00142604" w:rsidP="0014260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7B0E75">
        <w:rPr>
          <w:rFonts w:ascii="Arial" w:eastAsia="Arial" w:hAnsi="Arial" w:cs="Arial"/>
          <w:b/>
          <w:sz w:val="24"/>
          <w:szCs w:val="24"/>
        </w:rPr>
        <w:t>39th CYCLE</w:t>
      </w:r>
    </w:p>
    <w:p w:rsidR="00142604" w:rsidRPr="007B0E75" w:rsidRDefault="00142604" w:rsidP="00142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7B0E75">
        <w:rPr>
          <w:rFonts w:ascii="Arial" w:eastAsia="Arial" w:hAnsi="Arial" w:cs="Arial"/>
          <w:b/>
          <w:sz w:val="24"/>
          <w:szCs w:val="24"/>
        </w:rPr>
        <w:t xml:space="preserve">Project </w:t>
      </w: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proposal</w:t>
      </w:r>
      <w:proofErr w:type="spellEnd"/>
      <w:r w:rsidRPr="007B0E7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for</w:t>
      </w:r>
      <w:proofErr w:type="spellEnd"/>
      <w:r w:rsidRPr="007B0E75">
        <w:rPr>
          <w:rFonts w:ascii="Arial" w:eastAsia="Arial" w:hAnsi="Arial" w:cs="Arial"/>
          <w:b/>
          <w:sz w:val="24"/>
          <w:szCs w:val="24"/>
        </w:rPr>
        <w:t xml:space="preserve"> a Sapienza </w:t>
      </w: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PhD</w:t>
      </w:r>
      <w:proofErr w:type="spellEnd"/>
      <w:r w:rsidRPr="007B0E7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scholarship</w:t>
      </w:r>
      <w:proofErr w:type="spellEnd"/>
    </w:p>
    <w:p w:rsidR="00142604" w:rsidRPr="007B0E75" w:rsidRDefault="00142604" w:rsidP="00142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142604" w:rsidRPr="007B0E75" w:rsidRDefault="00142604" w:rsidP="00142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B0E75">
        <w:rPr>
          <w:rFonts w:ascii="Arial" w:eastAsia="Arial" w:hAnsi="Arial" w:cs="Arial"/>
          <w:b/>
          <w:sz w:val="24"/>
          <w:szCs w:val="24"/>
        </w:rPr>
        <w:t xml:space="preserve">PNRR ex-DM118 </w:t>
      </w: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research</w:t>
      </w:r>
      <w:proofErr w:type="spellEnd"/>
      <w:r w:rsidRPr="007B0E7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line</w:t>
      </w:r>
      <w:proofErr w:type="spellEnd"/>
    </w:p>
    <w:p w:rsidR="00142604" w:rsidRPr="007B0E75" w:rsidRDefault="00142604" w:rsidP="005F32A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5F32A5" w:rsidRPr="007B0E75" w:rsidRDefault="005F32A5" w:rsidP="005F32A5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b/>
          <w:bCs/>
          <w:sz w:val="24"/>
          <w:szCs w:val="24"/>
          <w:lang w:val="en-US"/>
        </w:rPr>
      </w:pPr>
      <w:r w:rsidRPr="007B0E75">
        <w:rPr>
          <w:rFonts w:ascii="Arial" w:eastAsia="Arial" w:hAnsi="Arial" w:cs="Arial"/>
          <w:b/>
          <w:sz w:val="24"/>
          <w:szCs w:val="24"/>
          <w:lang w:val="en-GB"/>
        </w:rPr>
        <w:t>Title:</w:t>
      </w:r>
      <w:r w:rsidR="00E52329" w:rsidRPr="007B0E75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E52329" w:rsidRPr="007B0E75">
        <w:rPr>
          <w:rFonts w:ascii="Arial" w:eastAsia="DejaVuSans" w:hAnsi="Arial" w:cs="Arial"/>
          <w:b/>
          <w:bCs/>
          <w:sz w:val="24"/>
          <w:szCs w:val="24"/>
          <w:lang w:val="en-US"/>
        </w:rPr>
        <w:t xml:space="preserve">Plant tissue damage: </w:t>
      </w:r>
      <w:proofErr w:type="spellStart"/>
      <w:r w:rsidR="00E52329" w:rsidRPr="007B0E75">
        <w:rPr>
          <w:rFonts w:ascii="Arial" w:eastAsia="DejaVuSans" w:hAnsi="Arial" w:cs="Arial"/>
          <w:b/>
          <w:bCs/>
          <w:sz w:val="24"/>
          <w:szCs w:val="24"/>
          <w:lang w:val="en-US"/>
        </w:rPr>
        <w:t>signalling</w:t>
      </w:r>
      <w:proofErr w:type="spellEnd"/>
      <w:r w:rsidR="00E52329" w:rsidRPr="007B0E75">
        <w:rPr>
          <w:rFonts w:ascii="Arial" w:eastAsia="DejaVuSans" w:hAnsi="Arial" w:cs="Arial"/>
          <w:b/>
          <w:bCs/>
          <w:sz w:val="24"/>
          <w:szCs w:val="24"/>
          <w:lang w:val="en-US"/>
        </w:rPr>
        <w:t xml:space="preserve"> gunshots and waves for immunity</w:t>
      </w:r>
    </w:p>
    <w:p w:rsidR="005F32A5" w:rsidRPr="007B0E75" w:rsidRDefault="005F32A5" w:rsidP="005F32A5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5F32A5" w:rsidRPr="007B0E75" w:rsidRDefault="005F32A5" w:rsidP="005F32A5">
      <w:pPr>
        <w:jc w:val="both"/>
        <w:rPr>
          <w:rFonts w:ascii="Arial" w:eastAsia="Arial" w:hAnsi="Arial" w:cs="Arial"/>
          <w:iCs/>
          <w:sz w:val="24"/>
          <w:szCs w:val="24"/>
        </w:rPr>
      </w:pPr>
      <w:proofErr w:type="spellStart"/>
      <w:r w:rsidRPr="007B0E75">
        <w:rPr>
          <w:rFonts w:ascii="Arial" w:eastAsia="Arial" w:hAnsi="Arial" w:cs="Arial"/>
          <w:b/>
          <w:sz w:val="24"/>
          <w:szCs w:val="24"/>
        </w:rPr>
        <w:t>Supervisor</w:t>
      </w:r>
      <w:proofErr w:type="spellEnd"/>
      <w:r w:rsidRPr="007B0E75">
        <w:rPr>
          <w:rFonts w:ascii="Arial" w:eastAsia="Arial" w:hAnsi="Arial" w:cs="Arial"/>
          <w:b/>
          <w:sz w:val="24"/>
          <w:szCs w:val="24"/>
        </w:rPr>
        <w:t>:</w:t>
      </w:r>
      <w:r w:rsidR="00142604" w:rsidRPr="007B0E75"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5" w:history="1">
        <w:r w:rsidR="00142604" w:rsidRPr="007B0E75">
          <w:rPr>
            <w:rFonts w:ascii="Arial" w:hAnsi="Arial" w:cs="Arial"/>
            <w:sz w:val="24"/>
            <w:szCs w:val="24"/>
          </w:rPr>
          <w:t>Daniela</w:t>
        </w:r>
      </w:hyperlink>
      <w:r w:rsidR="00142604" w:rsidRPr="007B0E75">
        <w:rPr>
          <w:rFonts w:ascii="Arial" w:hAnsi="Arial" w:cs="Arial"/>
          <w:sz w:val="24"/>
          <w:szCs w:val="24"/>
        </w:rPr>
        <w:t xml:space="preserve"> Pontiggia</w:t>
      </w:r>
      <w:r w:rsidRPr="007B0E75">
        <w:rPr>
          <w:rFonts w:ascii="Arial" w:eastAsia="Arial" w:hAnsi="Arial" w:cs="Arial"/>
          <w:iCs/>
          <w:sz w:val="24"/>
          <w:szCs w:val="24"/>
        </w:rPr>
        <w:t xml:space="preserve"> (</w:t>
      </w:r>
      <w:hyperlink r:id="rId6" w:history="1">
        <w:r w:rsidR="00142604" w:rsidRPr="007B0E75">
          <w:rPr>
            <w:rStyle w:val="Collegamentoipertestuale"/>
            <w:rFonts w:ascii="Arial" w:eastAsia="Arial" w:hAnsi="Arial" w:cs="Arial"/>
            <w:iCs/>
            <w:sz w:val="24"/>
            <w:szCs w:val="24"/>
          </w:rPr>
          <w:t>daniela.pontiggia@uniroma1.it</w:t>
        </w:r>
      </w:hyperlink>
      <w:r w:rsidR="00142604" w:rsidRPr="007B0E75">
        <w:rPr>
          <w:rFonts w:ascii="Arial" w:eastAsia="Arial" w:hAnsi="Arial" w:cs="Arial"/>
          <w:iCs/>
          <w:sz w:val="24"/>
          <w:szCs w:val="24"/>
        </w:rPr>
        <w:t>)</w:t>
      </w:r>
    </w:p>
    <w:p w:rsidR="005F32A5" w:rsidRDefault="005F32A5" w:rsidP="005F32A5">
      <w:pPr>
        <w:jc w:val="both"/>
        <w:rPr>
          <w:sz w:val="24"/>
          <w:szCs w:val="24"/>
        </w:rPr>
      </w:pPr>
      <w:r w:rsidRPr="007B0E75">
        <w:rPr>
          <w:rFonts w:ascii="Arial" w:eastAsia="Arial" w:hAnsi="Arial" w:cs="Arial"/>
          <w:b/>
          <w:sz w:val="24"/>
          <w:szCs w:val="24"/>
          <w:lang w:val="en-GB"/>
        </w:rPr>
        <w:t xml:space="preserve">Scopus Author ID: </w:t>
      </w:r>
      <w:hyperlink r:id="rId7">
        <w:r w:rsidRPr="007B0E75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n-GB"/>
          </w:rPr>
          <w:t>23095722000</w:t>
        </w:r>
      </w:hyperlink>
    </w:p>
    <w:p w:rsidR="007B0E75" w:rsidRPr="007B0E75" w:rsidRDefault="007B0E75" w:rsidP="005F32A5">
      <w:pPr>
        <w:jc w:val="both"/>
        <w:rPr>
          <w:rStyle w:val="Collegamentoipertestuale"/>
          <w:rFonts w:ascii="Arial" w:hAnsi="Arial" w:cs="Arial"/>
          <w:iCs/>
          <w:sz w:val="24"/>
          <w:szCs w:val="24"/>
          <w:u w:val="none"/>
        </w:rPr>
      </w:pPr>
      <w:r w:rsidRPr="007B0E75">
        <w:rPr>
          <w:rStyle w:val="Collegamentoipertestuale"/>
          <w:rFonts w:ascii="Arial" w:hAnsi="Arial" w:cs="Arial"/>
          <w:iCs/>
          <w:sz w:val="24"/>
          <w:szCs w:val="24"/>
          <w:u w:val="none"/>
        </w:rPr>
        <w:t>https://corsidilaurea.uniroma1.it/it/users/danielapontiggiauniroma1it</w:t>
      </w:r>
    </w:p>
    <w:p w:rsidR="005F32A5" w:rsidRPr="007B0E75" w:rsidRDefault="005F32A5" w:rsidP="005F32A5">
      <w:pPr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5F32A5" w:rsidRPr="007B0E75" w:rsidRDefault="00142604" w:rsidP="005F32A5">
      <w:pPr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 w:rsidRPr="007B0E75">
        <w:rPr>
          <w:rFonts w:ascii="Arial" w:eastAsia="Arial" w:hAnsi="Arial" w:cs="Arial"/>
          <w:b/>
          <w:sz w:val="24"/>
          <w:szCs w:val="24"/>
          <w:lang w:val="en-GB"/>
        </w:rPr>
        <w:t>Summary</w:t>
      </w:r>
      <w:r w:rsidR="005F32A5" w:rsidRPr="007B0E75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</w:p>
    <w:p w:rsidR="00CC7BF1" w:rsidRPr="007B0E75" w:rsidRDefault="00CC7BF1" w:rsidP="001426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4"/>
          <w:szCs w:val="24"/>
          <w:lang w:val="en-US"/>
        </w:rPr>
      </w:pPr>
      <w:r w:rsidRPr="007B0E75">
        <w:rPr>
          <w:rFonts w:ascii="Arial" w:eastAsia="DejaVuSans" w:hAnsi="Arial" w:cs="Arial"/>
          <w:sz w:val="24"/>
          <w:szCs w:val="24"/>
          <w:lang w:val="en-US"/>
        </w:rPr>
        <w:t xml:space="preserve">Plant signals (Damage-Associated Molecular Patterns or DAMPs) released upon tissue injury activate </w:t>
      </w:r>
      <w:r w:rsidR="005F32A5" w:rsidRPr="007B0E75">
        <w:rPr>
          <w:rFonts w:ascii="Arial" w:eastAsia="DejaVuSans" w:hAnsi="Arial" w:cs="Arial"/>
          <w:sz w:val="24"/>
          <w:szCs w:val="24"/>
          <w:lang w:val="en-US"/>
        </w:rPr>
        <w:t>immunity and</w:t>
      </w:r>
      <w:r w:rsidRPr="007B0E75">
        <w:rPr>
          <w:rFonts w:ascii="Arial" w:eastAsia="DejaVuSans" w:hAnsi="Arial" w:cs="Arial"/>
          <w:sz w:val="24"/>
          <w:szCs w:val="24"/>
          <w:lang w:val="en-US"/>
        </w:rPr>
        <w:t xml:space="preserve"> establish a state of protection in the plant against pathogens </w:t>
      </w:r>
      <w:r w:rsidR="005F32A5" w:rsidRPr="007B0E75">
        <w:rPr>
          <w:rFonts w:ascii="Arial" w:eastAsia="DejaVuSans" w:hAnsi="Arial" w:cs="Arial"/>
          <w:sz w:val="24"/>
          <w:szCs w:val="24"/>
          <w:lang w:val="en-US"/>
        </w:rPr>
        <w:t xml:space="preserve">also </w:t>
      </w:r>
      <w:r w:rsidRPr="007B0E75">
        <w:rPr>
          <w:rFonts w:ascii="Arial" w:eastAsia="DejaVuSans" w:hAnsi="Arial" w:cs="Arial"/>
          <w:sz w:val="24"/>
          <w:szCs w:val="24"/>
          <w:lang w:val="en-US"/>
        </w:rPr>
        <w:t xml:space="preserve">at distal sites, through an uncharacterized long-distance signal propagation. Protection is due to a primed state that allows to </w:t>
      </w:r>
      <w:r w:rsidR="006F6DE3" w:rsidRPr="007B0E75">
        <w:rPr>
          <w:rFonts w:ascii="Arial" w:eastAsia="DejaVuSans" w:hAnsi="Arial" w:cs="Arial"/>
          <w:sz w:val="24"/>
          <w:szCs w:val="24"/>
          <w:lang w:val="en-US"/>
        </w:rPr>
        <w:t>respond to stress stimuli more promptly</w:t>
      </w:r>
      <w:r w:rsidRPr="007B0E75">
        <w:rPr>
          <w:rFonts w:ascii="Arial" w:eastAsia="DejaVuSans" w:hAnsi="Arial" w:cs="Arial"/>
          <w:sz w:val="24"/>
          <w:szCs w:val="24"/>
          <w:lang w:val="en-US"/>
        </w:rPr>
        <w:t xml:space="preserve">. By monitoring typical readouts, we will study the interplay among oligosaccharide DAMPs derived from different components of plant cell wall (CW), and the complex network leading to CW DAMP-induced priming at distal sites, as well as the role of enzymes, all capable of forming </w:t>
      </w:r>
      <w:proofErr w:type="spellStart"/>
      <w:r w:rsidRPr="007B0E75">
        <w:rPr>
          <w:rFonts w:ascii="Arial" w:eastAsia="DejaVuSans" w:hAnsi="Arial" w:cs="Arial"/>
          <w:sz w:val="24"/>
          <w:szCs w:val="24"/>
          <w:lang w:val="en-US"/>
        </w:rPr>
        <w:t>apoplastic</w:t>
      </w:r>
      <w:proofErr w:type="spellEnd"/>
      <w:r w:rsidRPr="007B0E75">
        <w:rPr>
          <w:rFonts w:ascii="Arial" w:eastAsia="DejaVuSans" w:hAnsi="Arial" w:cs="Arial"/>
          <w:sz w:val="24"/>
          <w:szCs w:val="24"/>
          <w:lang w:val="en-US"/>
        </w:rPr>
        <w:t xml:space="preserve"> biologically active H</w:t>
      </w:r>
      <w:r w:rsidRPr="007B0E75">
        <w:rPr>
          <w:rFonts w:ascii="Arial" w:eastAsia="DejaVuSans" w:hAnsi="Arial" w:cs="Arial"/>
          <w:sz w:val="24"/>
          <w:szCs w:val="24"/>
          <w:vertAlign w:val="subscript"/>
          <w:lang w:val="en-US"/>
        </w:rPr>
        <w:t>2</w:t>
      </w:r>
      <w:r w:rsidRPr="007B0E75">
        <w:rPr>
          <w:rFonts w:ascii="Arial" w:eastAsia="DejaVuSans" w:hAnsi="Arial" w:cs="Arial"/>
          <w:sz w:val="24"/>
          <w:szCs w:val="24"/>
          <w:lang w:val="en-US"/>
        </w:rPr>
        <w:t>O</w:t>
      </w:r>
      <w:r w:rsidRPr="007B0E75">
        <w:rPr>
          <w:rFonts w:ascii="Arial" w:eastAsia="DejaVuSans" w:hAnsi="Arial" w:cs="Arial"/>
          <w:sz w:val="24"/>
          <w:szCs w:val="24"/>
          <w:vertAlign w:val="subscript"/>
          <w:lang w:val="en-US"/>
        </w:rPr>
        <w:t>2</w:t>
      </w:r>
      <w:r w:rsidRPr="007B0E75">
        <w:rPr>
          <w:rFonts w:ascii="Arial" w:eastAsia="DejaVuSans" w:hAnsi="Arial" w:cs="Arial"/>
          <w:sz w:val="24"/>
          <w:szCs w:val="24"/>
          <w:lang w:val="en-US"/>
        </w:rPr>
        <w:t xml:space="preserve"> [the NADPH oxidase RBOHD, the copper amine </w:t>
      </w:r>
      <w:proofErr w:type="spellStart"/>
      <w:r w:rsidRPr="007B0E75">
        <w:rPr>
          <w:rFonts w:ascii="Arial" w:eastAsia="DejaVuSans" w:hAnsi="Arial" w:cs="Arial"/>
          <w:sz w:val="24"/>
          <w:szCs w:val="24"/>
          <w:lang w:val="en-US"/>
        </w:rPr>
        <w:t>oxidase</w:t>
      </w:r>
      <w:proofErr w:type="spellEnd"/>
      <w:r w:rsidRPr="007B0E75">
        <w:rPr>
          <w:rFonts w:ascii="Arial" w:eastAsia="DejaVuSans" w:hAnsi="Arial" w:cs="Arial"/>
          <w:sz w:val="24"/>
          <w:szCs w:val="24"/>
          <w:lang w:val="en-US"/>
        </w:rPr>
        <w:t xml:space="preserve"> </w:t>
      </w:r>
      <w:proofErr w:type="spellStart"/>
      <w:r w:rsidRPr="007B0E75">
        <w:rPr>
          <w:rFonts w:ascii="Arial" w:eastAsia="DejaVuSans" w:hAnsi="Arial" w:cs="Arial"/>
          <w:sz w:val="24"/>
          <w:szCs w:val="24"/>
          <w:lang w:val="en-US"/>
        </w:rPr>
        <w:t>CuAO</w:t>
      </w:r>
      <w:proofErr w:type="spellEnd"/>
      <w:r w:rsidRPr="007B0E75">
        <w:rPr>
          <w:rFonts w:ascii="Arial" w:eastAsia="DejaVuSans" w:hAnsi="Arial" w:cs="Arial"/>
          <w:sz w:val="24"/>
          <w:szCs w:val="24"/>
        </w:rPr>
        <w:t>β</w:t>
      </w:r>
      <w:r w:rsidRPr="007B0E75">
        <w:rPr>
          <w:rFonts w:ascii="Arial" w:eastAsia="DejaVuSans" w:hAnsi="Arial" w:cs="Arial"/>
          <w:sz w:val="24"/>
          <w:szCs w:val="24"/>
          <w:lang w:val="en-US"/>
        </w:rPr>
        <w:t>and the CW oligosaccharide-oxidizing BBE-l enzymes]. This project addresses frontline aspectsin plant biology and will generate knowledge essential for translation and crop protection strategies, relevant to the green transition actions.</w:t>
      </w:r>
    </w:p>
    <w:p w:rsidR="002D3DAB" w:rsidRPr="007B0E75" w:rsidRDefault="002D3DAB" w:rsidP="00F20DE4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  <w:lang w:val="en-US"/>
        </w:rPr>
      </w:pPr>
    </w:p>
    <w:p w:rsidR="00E80EA4" w:rsidRPr="007B0E75" w:rsidRDefault="00E80EA4" w:rsidP="00F20DE4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bookmarkEnd w:id="0"/>
    <w:p w:rsidR="0080638F" w:rsidRPr="007B0E75" w:rsidRDefault="0080638F" w:rsidP="0080638F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7B0E75">
        <w:rPr>
          <w:rFonts w:ascii="Arial" w:eastAsia="Arial" w:hAnsi="Arial" w:cs="Arial"/>
          <w:b/>
          <w:sz w:val="24"/>
          <w:szCs w:val="24"/>
          <w:lang w:val="en-US"/>
        </w:rPr>
        <w:t>Pertinent Publications of the proponent (last 5 years)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B0E75">
        <w:rPr>
          <w:rFonts w:ascii="Arial" w:hAnsi="Arial" w:cs="Arial"/>
          <w:i/>
          <w:color w:val="000000"/>
          <w:sz w:val="24"/>
          <w:szCs w:val="24"/>
        </w:rPr>
        <w:t>Pontiggia, D.</w:t>
      </w:r>
      <w:r w:rsidRPr="007B0E75">
        <w:rPr>
          <w:rFonts w:ascii="Arial" w:hAnsi="Arial" w:cs="Arial"/>
          <w:sz w:val="24"/>
          <w:szCs w:val="24"/>
        </w:rPr>
        <w:t xml:space="preserve"> *</w:t>
      </w:r>
      <w:r w:rsidRPr="007B0E75">
        <w:rPr>
          <w:rFonts w:ascii="Arial" w:hAnsi="Arial" w:cs="Arial"/>
          <w:i/>
          <w:color w:val="000000"/>
          <w:sz w:val="24"/>
          <w:szCs w:val="24"/>
        </w:rPr>
        <w:t>,</w:t>
      </w:r>
      <w:r w:rsidRPr="007B0E75">
        <w:rPr>
          <w:rFonts w:ascii="Arial" w:hAnsi="Arial" w:cs="Arial"/>
          <w:color w:val="000000"/>
          <w:sz w:val="24"/>
          <w:szCs w:val="24"/>
        </w:rPr>
        <w:t>Giulietti, S.</w:t>
      </w:r>
      <w:r w:rsidRPr="007B0E75">
        <w:rPr>
          <w:rFonts w:ascii="Arial" w:hAnsi="Arial" w:cs="Arial"/>
          <w:sz w:val="24"/>
          <w:szCs w:val="24"/>
        </w:rPr>
        <w:t>*</w:t>
      </w:r>
      <w:r w:rsidRPr="007B0E75">
        <w:rPr>
          <w:rFonts w:ascii="Arial" w:hAnsi="Arial" w:cs="Arial"/>
          <w:color w:val="000000"/>
          <w:sz w:val="24"/>
          <w:szCs w:val="24"/>
        </w:rPr>
        <w:t>, Gramegna.</w:t>
      </w:r>
      <w:r w:rsidRPr="007B0E75">
        <w:rPr>
          <w:rFonts w:ascii="Arial" w:hAnsi="Arial" w:cs="Arial"/>
          <w:sz w:val="24"/>
          <w:szCs w:val="24"/>
        </w:rPr>
        <w:t>*</w:t>
      </w:r>
      <w:r w:rsidRPr="007B0E75">
        <w:rPr>
          <w:rFonts w:ascii="Arial" w:hAnsi="Arial" w:cs="Arial"/>
          <w:color w:val="000000"/>
          <w:sz w:val="24"/>
          <w:szCs w:val="24"/>
        </w:rPr>
        <w:t xml:space="preserve">, Lionetti, V., Lorrai, R., Marti, L, Ferrari, S., De Lorenzo, G., &amp; Cervone, F. </w:t>
      </w:r>
      <w:r w:rsidRPr="007B0E75">
        <w:rPr>
          <w:rFonts w:ascii="Arial" w:hAnsi="Arial" w:cs="Arial"/>
          <w:b/>
          <w:color w:val="000000"/>
          <w:sz w:val="24"/>
          <w:szCs w:val="24"/>
        </w:rPr>
        <w:t xml:space="preserve">(in press). 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The Ancient Battle Between Plants and Pathogens: Resilience of the Plant Cell Wall and Damage-Associated Molecular Patterns (DAMPs) Drive Plant Immunity In: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Geitmann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A (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ed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) Plant Cell Walls – Research Milestones and Conceptual Insights. CRC Press, Taylor &amp; Francis Group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B0E75">
        <w:rPr>
          <w:rFonts w:ascii="Arial" w:hAnsi="Arial" w:cs="Arial"/>
          <w:i/>
          <w:color w:val="000000"/>
          <w:sz w:val="24"/>
          <w:szCs w:val="24"/>
          <w:lang w:val="en-US"/>
        </w:rPr>
        <w:t>Pontiggia, D.</w:t>
      </w:r>
      <w:r w:rsidRPr="007B0E75">
        <w:rPr>
          <w:rFonts w:ascii="Arial" w:hAnsi="Arial" w:cs="Arial"/>
          <w:sz w:val="24"/>
          <w:szCs w:val="24"/>
          <w:lang w:val="en-US"/>
        </w:rPr>
        <w:t xml:space="preserve"> *</w:t>
      </w:r>
      <w:r w:rsidRPr="007B0E75">
        <w:rPr>
          <w:rFonts w:ascii="Arial" w:hAnsi="Arial" w:cs="Arial"/>
          <w:i/>
          <w:color w:val="000000"/>
          <w:sz w:val="24"/>
          <w:szCs w:val="24"/>
          <w:lang w:val="en-US"/>
        </w:rPr>
        <w:t>,</w:t>
      </w:r>
      <w:r w:rsidRPr="007B0E75">
        <w:rPr>
          <w:rFonts w:ascii="Arial" w:hAnsi="Arial" w:cs="Arial"/>
          <w:color w:val="000000"/>
          <w:sz w:val="24"/>
          <w:szCs w:val="24"/>
          <w:lang w:val="en-US"/>
        </w:rPr>
        <w:t xml:space="preserve"> Benedetti, M.</w:t>
      </w:r>
      <w:r w:rsidRPr="007B0E75">
        <w:rPr>
          <w:rFonts w:ascii="Arial" w:hAnsi="Arial" w:cs="Arial"/>
          <w:sz w:val="24"/>
          <w:szCs w:val="24"/>
          <w:lang w:val="en-US"/>
        </w:rPr>
        <w:t>*</w:t>
      </w:r>
      <w:r w:rsidRPr="007B0E75">
        <w:rPr>
          <w:rFonts w:ascii="Arial" w:hAnsi="Arial" w:cs="Arial"/>
          <w:color w:val="000000"/>
          <w:sz w:val="24"/>
          <w:szCs w:val="24"/>
          <w:lang w:val="en-US"/>
        </w:rPr>
        <w:t>, Costantini, S.</w:t>
      </w:r>
      <w:r w:rsidRPr="007B0E75">
        <w:rPr>
          <w:rFonts w:ascii="Arial" w:hAnsi="Arial" w:cs="Arial"/>
          <w:sz w:val="24"/>
          <w:szCs w:val="24"/>
          <w:lang w:val="en-US"/>
        </w:rPr>
        <w:t>*</w:t>
      </w:r>
      <w:r w:rsidRPr="007B0E75">
        <w:rPr>
          <w:rFonts w:ascii="Arial" w:hAnsi="Arial" w:cs="Arial"/>
          <w:color w:val="000000"/>
          <w:sz w:val="24"/>
          <w:szCs w:val="24"/>
          <w:lang w:val="en-US"/>
        </w:rPr>
        <w:t xml:space="preserve">, De Lorenzo, G., &amp; Cervone, F. </w:t>
      </w:r>
      <w:r w:rsidRPr="007B0E7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(2020) </w:t>
      </w:r>
      <w:r w:rsidRPr="007B0E75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Dampening the DAMPs: How Plants Maintain the Homeostasis of Cell </w:t>
      </w:r>
      <w:r w:rsidRPr="007B0E75">
        <w:rPr>
          <w:rFonts w:ascii="Arial" w:hAnsi="Arial" w:cs="Arial"/>
          <w:color w:val="000000"/>
          <w:sz w:val="24"/>
          <w:szCs w:val="24"/>
          <w:u w:val="single"/>
          <w:lang w:val="en-US"/>
        </w:rPr>
        <w:lastRenderedPageBreak/>
        <w:t>Wall Molecular Patterns and Avoid Hyper-Immunity</w:t>
      </w:r>
      <w:r w:rsidRPr="007B0E75">
        <w:rPr>
          <w:rFonts w:ascii="Arial" w:hAnsi="Arial" w:cs="Arial"/>
          <w:color w:val="000000"/>
          <w:sz w:val="24"/>
          <w:szCs w:val="24"/>
          <w:lang w:val="en-US"/>
        </w:rPr>
        <w:t>. </w:t>
      </w: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Frontiers in Plant Science, </w:t>
      </w:r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>11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. Doi: 10.3389/fpls.2020.613259 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Wang P, Zhou L, Jamieson P, Zhang L, Zhao Z, Babilonia K,  Shao W, Wu L, Mustafa R,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Amin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I,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Diomaiuti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A, </w:t>
      </w:r>
      <w:proofErr w:type="spellStart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>Pontiggia</w:t>
      </w:r>
      <w:proofErr w:type="spellEnd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>D,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>Ferrari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S,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Hou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Y, He P, Shan L </w:t>
      </w: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(2020).</w:t>
      </w:r>
      <w:r w:rsidRPr="007B0E75">
        <w:rPr>
          <w:rFonts w:ascii="Arial" w:hAnsi="Arial" w:cs="Arial"/>
          <w:color w:val="000000"/>
          <w:sz w:val="24"/>
          <w:szCs w:val="24"/>
          <w:u w:val="single"/>
          <w:lang w:val="en-US"/>
        </w:rPr>
        <w:t>The Cotton Wall-associated Kinase GhWAK7A Mediates Responses to Fungal Wilt Pathogens by Complexing with the Chitin Sensory Receptors.</w:t>
      </w:r>
      <w:r w:rsidRPr="007B0E75">
        <w:rPr>
          <w:rFonts w:ascii="Arial" w:hAnsi="Arial" w:cs="Arial"/>
          <w:b/>
          <w:color w:val="000000"/>
          <w:sz w:val="24"/>
          <w:szCs w:val="24"/>
        </w:rPr>
        <w:t>The Plant Cell</w:t>
      </w:r>
      <w:r w:rsidRPr="007B0E7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B0E75">
        <w:rPr>
          <w:rFonts w:ascii="Arial" w:hAnsi="Arial" w:cs="Arial"/>
          <w:i/>
          <w:color w:val="222222"/>
          <w:sz w:val="24"/>
          <w:szCs w:val="24"/>
          <w:highlight w:val="white"/>
        </w:rPr>
        <w:t>32</w:t>
      </w:r>
      <w:r w:rsidRPr="007B0E75">
        <w:rPr>
          <w:rFonts w:ascii="Arial" w:hAnsi="Arial" w:cs="Arial"/>
          <w:color w:val="222222"/>
          <w:sz w:val="24"/>
          <w:szCs w:val="24"/>
          <w:highlight w:val="white"/>
        </w:rPr>
        <w:t>(12), 3978-4001</w:t>
      </w:r>
      <w:r w:rsidRPr="007B0E75">
        <w:rPr>
          <w:rFonts w:ascii="Arial" w:hAnsi="Arial" w:cs="Arial"/>
          <w:color w:val="000000"/>
          <w:sz w:val="24"/>
          <w:szCs w:val="24"/>
        </w:rPr>
        <w:t xml:space="preserve"> Doi: 10.1105/tpc.19.00950. 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E75">
        <w:rPr>
          <w:rFonts w:ascii="Arial" w:hAnsi="Arial" w:cs="Arial"/>
          <w:color w:val="000000"/>
          <w:sz w:val="24"/>
          <w:szCs w:val="24"/>
        </w:rPr>
        <w:t xml:space="preserve">Del Corpo D, Fullone MR, Miele R,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</w:rPr>
        <w:t>Lafond</w:t>
      </w:r>
      <w:proofErr w:type="spellEnd"/>
      <w:r w:rsidRPr="007B0E75">
        <w:rPr>
          <w:rFonts w:ascii="Arial" w:hAnsi="Arial" w:cs="Arial"/>
          <w:color w:val="000000"/>
          <w:sz w:val="24"/>
          <w:szCs w:val="24"/>
        </w:rPr>
        <w:t xml:space="preserve"> M, </w:t>
      </w:r>
      <w:r w:rsidRPr="007B0E75">
        <w:rPr>
          <w:rFonts w:ascii="Arial" w:hAnsi="Arial" w:cs="Arial"/>
          <w:i/>
          <w:color w:val="000000"/>
          <w:sz w:val="24"/>
          <w:szCs w:val="24"/>
        </w:rPr>
        <w:t>Pontiggia D</w:t>
      </w:r>
      <w:r w:rsidRPr="007B0E75">
        <w:rPr>
          <w:rFonts w:ascii="Arial" w:hAnsi="Arial" w:cs="Arial"/>
          <w:color w:val="000000"/>
          <w:sz w:val="24"/>
          <w:szCs w:val="24"/>
        </w:rPr>
        <w:t>,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</w:rPr>
        <w:t>Grisel</w:t>
      </w:r>
      <w:proofErr w:type="spellEnd"/>
      <w:r w:rsidRPr="007B0E75">
        <w:rPr>
          <w:rFonts w:ascii="Arial" w:hAnsi="Arial" w:cs="Arial"/>
          <w:color w:val="000000"/>
          <w:sz w:val="24"/>
          <w:szCs w:val="24"/>
        </w:rPr>
        <w:t xml:space="preserve">  S,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</w:rPr>
        <w:t>Kieffer</w:t>
      </w:r>
      <w:r w:rsidRPr="007B0E75">
        <w:rPr>
          <w:rFonts w:cs="Arial"/>
          <w:color w:val="000000"/>
          <w:sz w:val="24"/>
          <w:szCs w:val="24"/>
        </w:rPr>
        <w:t>‐</w:t>
      </w:r>
      <w:r w:rsidRPr="007B0E75">
        <w:rPr>
          <w:rFonts w:ascii="Arial" w:hAnsi="Arial" w:cs="Arial"/>
          <w:color w:val="000000"/>
          <w:sz w:val="24"/>
          <w:szCs w:val="24"/>
        </w:rPr>
        <w:t>Jaquinod</w:t>
      </w:r>
      <w:proofErr w:type="spellEnd"/>
      <w:r w:rsidRPr="007B0E75">
        <w:rPr>
          <w:rFonts w:ascii="Arial" w:hAnsi="Arial" w:cs="Arial"/>
          <w:color w:val="000000"/>
          <w:sz w:val="24"/>
          <w:szCs w:val="24"/>
        </w:rPr>
        <w:t xml:space="preserve"> S,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</w:rPr>
        <w:t>Giardina</w:t>
      </w:r>
      <w:proofErr w:type="spellEnd"/>
      <w:r w:rsidRPr="007B0E75">
        <w:rPr>
          <w:rFonts w:ascii="Arial" w:hAnsi="Arial" w:cs="Arial"/>
          <w:color w:val="000000"/>
          <w:sz w:val="24"/>
          <w:szCs w:val="24"/>
        </w:rPr>
        <w:t xml:space="preserve">  T, 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</w:rPr>
        <w:t>Bellincampi</w:t>
      </w:r>
      <w:proofErr w:type="spellEnd"/>
      <w:r w:rsidRPr="007B0E75">
        <w:rPr>
          <w:rFonts w:ascii="Arial" w:hAnsi="Arial" w:cs="Arial"/>
          <w:color w:val="000000"/>
          <w:sz w:val="24"/>
          <w:szCs w:val="24"/>
        </w:rPr>
        <w:t xml:space="preserve">  D, 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</w:rPr>
        <w:t>Lionetti</w:t>
      </w:r>
      <w:proofErr w:type="spellEnd"/>
      <w:r w:rsidRPr="007B0E75">
        <w:rPr>
          <w:rFonts w:ascii="Arial" w:hAnsi="Arial" w:cs="Arial"/>
          <w:color w:val="000000"/>
          <w:sz w:val="24"/>
          <w:szCs w:val="24"/>
        </w:rPr>
        <w:t xml:space="preserve"> V. </w:t>
      </w:r>
      <w:r w:rsidRPr="007B0E75">
        <w:rPr>
          <w:rFonts w:ascii="Arial" w:hAnsi="Arial" w:cs="Arial"/>
          <w:b/>
          <w:color w:val="000000"/>
          <w:sz w:val="24"/>
          <w:szCs w:val="24"/>
        </w:rPr>
        <w:t>(2020)</w:t>
      </w:r>
      <w:r w:rsidRPr="007B0E75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Pr="007B0E75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AtPME17 is a functional Arabidopsis thaliana pectin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u w:val="single"/>
          <w:lang w:val="en-US"/>
        </w:rPr>
        <w:t>methylesterase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regulated by its PRO region that triggers PME activity in the resistance to Botrytis cinerea</w:t>
      </w:r>
      <w:r w:rsidRPr="007B0E75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</w:rPr>
        <w:t>Molecular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</w:rPr>
        <w:t>Plant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</w:rPr>
        <w:t>Pathology</w:t>
      </w:r>
      <w:proofErr w:type="spellEnd"/>
      <w:r w:rsidRPr="007B0E75">
        <w:rPr>
          <w:rFonts w:ascii="Arial" w:hAnsi="Arial" w:cs="Arial"/>
          <w:i/>
          <w:color w:val="000000"/>
          <w:sz w:val="24"/>
          <w:szCs w:val="24"/>
        </w:rPr>
        <w:t>.21</w:t>
      </w:r>
      <w:r w:rsidRPr="007B0E75">
        <w:rPr>
          <w:rFonts w:ascii="Arial" w:hAnsi="Arial" w:cs="Arial"/>
          <w:color w:val="000000"/>
          <w:sz w:val="24"/>
          <w:szCs w:val="24"/>
        </w:rPr>
        <w:t xml:space="preserve">(12), 1620-1633Doi: 10.1111/mpp.13002 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E75">
        <w:rPr>
          <w:rFonts w:ascii="Arial" w:hAnsi="Arial" w:cs="Arial"/>
          <w:i/>
          <w:color w:val="000000"/>
          <w:sz w:val="24"/>
          <w:szCs w:val="24"/>
        </w:rPr>
        <w:t>Pontiggia D,,</w:t>
      </w:r>
      <w:r w:rsidRPr="007B0E75">
        <w:rPr>
          <w:rFonts w:ascii="Arial" w:hAnsi="Arial" w:cs="Arial"/>
          <w:color w:val="000000"/>
          <w:sz w:val="24"/>
          <w:szCs w:val="24"/>
        </w:rPr>
        <w:t xml:space="preserve">Spinelli, F., Fabbri, C., Licursi, V., Negri, R., De Lorenzo, G., &amp; Mattei, B. </w:t>
      </w:r>
      <w:r w:rsidRPr="007B0E75">
        <w:rPr>
          <w:rFonts w:ascii="Arial" w:hAnsi="Arial" w:cs="Arial"/>
          <w:b/>
          <w:color w:val="000000"/>
          <w:sz w:val="24"/>
          <w:szCs w:val="24"/>
        </w:rPr>
        <w:t>(2019).</w:t>
      </w:r>
      <w:r w:rsidRPr="007B0E75">
        <w:rPr>
          <w:rFonts w:ascii="Arial" w:hAnsi="Arial" w:cs="Arial"/>
          <w:color w:val="000000"/>
          <w:sz w:val="24"/>
          <w:szCs w:val="24"/>
          <w:u w:val="single"/>
          <w:lang w:val="en-US"/>
        </w:rPr>
        <w:t>Changes in the microsomal proteome of tomato fruit during ripening</w:t>
      </w:r>
      <w:r w:rsidRPr="007B0E75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7B0E75">
        <w:rPr>
          <w:rFonts w:ascii="Arial" w:hAnsi="Arial" w:cs="Arial"/>
          <w:b/>
          <w:color w:val="000000"/>
          <w:sz w:val="24"/>
          <w:szCs w:val="24"/>
        </w:rPr>
        <w:t xml:space="preserve">Scientific Reports, </w:t>
      </w:r>
      <w:r w:rsidRPr="007B0E75">
        <w:rPr>
          <w:rFonts w:ascii="Arial" w:hAnsi="Arial" w:cs="Arial"/>
          <w:i/>
          <w:color w:val="000000"/>
          <w:sz w:val="24"/>
          <w:szCs w:val="24"/>
        </w:rPr>
        <w:t>9</w:t>
      </w:r>
      <w:r w:rsidRPr="007B0E75">
        <w:rPr>
          <w:rFonts w:ascii="Arial" w:hAnsi="Arial" w:cs="Arial"/>
          <w:color w:val="000000"/>
          <w:sz w:val="24"/>
          <w:szCs w:val="24"/>
        </w:rPr>
        <w:t xml:space="preserve">(1), 1-18. Doi: 10.1038/s41598-019-50575-5 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E75">
        <w:rPr>
          <w:rFonts w:ascii="Arial" w:hAnsi="Arial" w:cs="Arial"/>
          <w:sz w:val="24"/>
          <w:szCs w:val="24"/>
        </w:rPr>
        <w:t xml:space="preserve">Locci F, Benedetti M, </w:t>
      </w:r>
      <w:r w:rsidRPr="007B0E75">
        <w:rPr>
          <w:rFonts w:ascii="Arial" w:hAnsi="Arial" w:cs="Arial"/>
          <w:i/>
          <w:sz w:val="24"/>
          <w:szCs w:val="24"/>
        </w:rPr>
        <w:t>Pontiggia D,,</w:t>
      </w:r>
      <w:proofErr w:type="spellStart"/>
      <w:r w:rsidRPr="007B0E75">
        <w:rPr>
          <w:rFonts w:ascii="Arial" w:hAnsi="Arial" w:cs="Arial"/>
          <w:sz w:val="24"/>
          <w:szCs w:val="24"/>
        </w:rPr>
        <w:t>Citterico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7B0E75">
        <w:rPr>
          <w:rFonts w:ascii="Arial" w:hAnsi="Arial" w:cs="Arial"/>
          <w:sz w:val="24"/>
          <w:szCs w:val="24"/>
        </w:rPr>
        <w:t>Caprari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 C, Mattei B, Cervone F, De Lorenzo G. </w:t>
      </w:r>
      <w:r w:rsidRPr="007B0E75">
        <w:rPr>
          <w:rFonts w:ascii="Arial" w:hAnsi="Arial" w:cs="Arial"/>
          <w:b/>
          <w:sz w:val="24"/>
          <w:szCs w:val="24"/>
        </w:rPr>
        <w:t>(2019).</w:t>
      </w:r>
      <w:r w:rsidRPr="007B0E75">
        <w:rPr>
          <w:rFonts w:ascii="Arial" w:hAnsi="Arial" w:cs="Arial"/>
          <w:sz w:val="24"/>
          <w:szCs w:val="24"/>
          <w:u w:val="single"/>
          <w:lang w:val="en-US"/>
        </w:rPr>
        <w:t>An Arabidopsis Berberine-Bridge Enzyme-Like Protein Specifically Oxidizes Cellulose Oligomers And Plays A Role In Immunity</w:t>
      </w:r>
      <w:r w:rsidRPr="007B0E75">
        <w:rPr>
          <w:rFonts w:ascii="Arial" w:hAnsi="Arial" w:cs="Arial"/>
          <w:sz w:val="24"/>
          <w:szCs w:val="24"/>
          <w:lang w:val="en-US"/>
        </w:rPr>
        <w:t xml:space="preserve">. </w:t>
      </w:r>
      <w:r w:rsidRPr="007B0E75">
        <w:rPr>
          <w:rFonts w:ascii="Arial" w:hAnsi="Arial" w:cs="Arial"/>
          <w:b/>
          <w:color w:val="000000"/>
          <w:sz w:val="24"/>
          <w:szCs w:val="24"/>
        </w:rPr>
        <w:t>The Plant Journal, </w:t>
      </w:r>
      <w:r w:rsidRPr="007B0E75">
        <w:rPr>
          <w:rFonts w:ascii="Arial" w:hAnsi="Arial" w:cs="Arial"/>
          <w:i/>
          <w:color w:val="000000"/>
          <w:sz w:val="24"/>
          <w:szCs w:val="24"/>
        </w:rPr>
        <w:t>98</w:t>
      </w:r>
      <w:r w:rsidRPr="007B0E75">
        <w:rPr>
          <w:rFonts w:ascii="Arial" w:hAnsi="Arial" w:cs="Arial"/>
          <w:color w:val="000000"/>
          <w:sz w:val="24"/>
          <w:szCs w:val="24"/>
        </w:rPr>
        <w:t>(3), 540-554.</w:t>
      </w:r>
      <w:r w:rsidRPr="007B0E75">
        <w:rPr>
          <w:rFonts w:ascii="Arial" w:hAnsi="Arial" w:cs="Arial"/>
          <w:sz w:val="24"/>
          <w:szCs w:val="24"/>
        </w:rPr>
        <w:t xml:space="preserve"> Doi: 10.1111/Tpj.14237. 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E75">
        <w:rPr>
          <w:rFonts w:ascii="Arial" w:hAnsi="Arial" w:cs="Arial"/>
          <w:sz w:val="24"/>
          <w:szCs w:val="24"/>
        </w:rPr>
        <w:t xml:space="preserve">Benedetti </w:t>
      </w:r>
      <w:proofErr w:type="spellStart"/>
      <w:r w:rsidRPr="007B0E75">
        <w:rPr>
          <w:rFonts w:ascii="Arial" w:hAnsi="Arial" w:cs="Arial"/>
          <w:sz w:val="24"/>
          <w:szCs w:val="24"/>
        </w:rPr>
        <w:t>M*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0E75">
        <w:rPr>
          <w:rFonts w:ascii="Arial" w:hAnsi="Arial" w:cs="Arial"/>
          <w:sz w:val="24"/>
          <w:szCs w:val="24"/>
        </w:rPr>
        <w:t>Verrascina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E75">
        <w:rPr>
          <w:rFonts w:ascii="Arial" w:hAnsi="Arial" w:cs="Arial"/>
          <w:sz w:val="24"/>
          <w:szCs w:val="24"/>
        </w:rPr>
        <w:t>I*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</w:t>
      </w:r>
      <w:r w:rsidRPr="007B0E75">
        <w:rPr>
          <w:rFonts w:ascii="Arial" w:hAnsi="Arial" w:cs="Arial"/>
          <w:i/>
          <w:sz w:val="24"/>
          <w:szCs w:val="24"/>
        </w:rPr>
        <w:t xml:space="preserve">Pontiggia </w:t>
      </w:r>
      <w:proofErr w:type="spellStart"/>
      <w:r w:rsidRPr="007B0E75">
        <w:rPr>
          <w:rFonts w:ascii="Arial" w:hAnsi="Arial" w:cs="Arial"/>
          <w:i/>
          <w:sz w:val="24"/>
          <w:szCs w:val="24"/>
        </w:rPr>
        <w:t>D*</w:t>
      </w:r>
      <w:proofErr w:type="spellEnd"/>
      <w:r w:rsidRPr="007B0E75">
        <w:rPr>
          <w:rFonts w:ascii="Arial" w:hAnsi="Arial" w:cs="Arial"/>
          <w:i/>
          <w:sz w:val="24"/>
          <w:szCs w:val="24"/>
        </w:rPr>
        <w:t>,</w:t>
      </w:r>
      <w:r w:rsidRPr="007B0E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E75">
        <w:rPr>
          <w:rFonts w:ascii="Arial" w:hAnsi="Arial" w:cs="Arial"/>
          <w:sz w:val="24"/>
          <w:szCs w:val="24"/>
        </w:rPr>
        <w:t>Locci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 F, Mattei B, De Lorenzo G, Cervone F. </w:t>
      </w:r>
      <w:r w:rsidRPr="007B0E75">
        <w:rPr>
          <w:rFonts w:ascii="Arial" w:hAnsi="Arial" w:cs="Arial"/>
          <w:b/>
          <w:sz w:val="24"/>
          <w:szCs w:val="24"/>
        </w:rPr>
        <w:t>(2018).</w:t>
      </w:r>
      <w:r w:rsidRPr="007B0E75">
        <w:rPr>
          <w:rFonts w:ascii="Arial" w:hAnsi="Arial" w:cs="Arial"/>
          <w:sz w:val="24"/>
          <w:szCs w:val="24"/>
          <w:u w:val="single"/>
          <w:lang w:val="en-US"/>
        </w:rPr>
        <w:t>Four Arabidopsis berberine-bridge enzyme-like proteins are specific oxidases that inactivate the elicitor-active oligogalacturonides.</w:t>
      </w:r>
      <w:r w:rsidRPr="007B0E75">
        <w:rPr>
          <w:rFonts w:ascii="Arial" w:hAnsi="Arial" w:cs="Arial"/>
          <w:b/>
          <w:sz w:val="24"/>
          <w:szCs w:val="24"/>
        </w:rPr>
        <w:t xml:space="preserve">The Plant Journal </w:t>
      </w:r>
      <w:r w:rsidRPr="007B0E75"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94</w:t>
      </w:r>
      <w:r w:rsidRPr="007B0E75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(2), 260-273. </w:t>
      </w:r>
      <w:r w:rsidRPr="007B0E75">
        <w:rPr>
          <w:rFonts w:ascii="Arial" w:hAnsi="Arial" w:cs="Arial"/>
          <w:sz w:val="24"/>
          <w:szCs w:val="24"/>
        </w:rPr>
        <w:t xml:space="preserve">Doi: 10.1111/tpj.13852. </w:t>
      </w:r>
    </w:p>
    <w:p w:rsidR="0080638F" w:rsidRPr="007B0E75" w:rsidRDefault="0080638F" w:rsidP="0080638F">
      <w:pPr>
        <w:numPr>
          <w:ilvl w:val="0"/>
          <w:numId w:val="1"/>
        </w:numPr>
        <w:spacing w:after="144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7B0E75">
        <w:rPr>
          <w:rFonts w:ascii="Arial" w:hAnsi="Arial" w:cs="Arial"/>
          <w:sz w:val="24"/>
          <w:szCs w:val="24"/>
        </w:rPr>
        <w:t>Mravec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Pr="007B0E75">
        <w:rPr>
          <w:rFonts w:ascii="Arial" w:hAnsi="Arial" w:cs="Arial"/>
          <w:sz w:val="24"/>
          <w:szCs w:val="24"/>
        </w:rPr>
        <w:t>Kračun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S. K., </w:t>
      </w:r>
      <w:proofErr w:type="spellStart"/>
      <w:r w:rsidRPr="007B0E75">
        <w:rPr>
          <w:rFonts w:ascii="Arial" w:hAnsi="Arial" w:cs="Arial"/>
          <w:sz w:val="24"/>
          <w:szCs w:val="24"/>
        </w:rPr>
        <w:t>Rydahl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M. G., </w:t>
      </w:r>
      <w:proofErr w:type="spellStart"/>
      <w:r w:rsidRPr="007B0E75">
        <w:rPr>
          <w:rFonts w:ascii="Arial" w:hAnsi="Arial" w:cs="Arial"/>
          <w:sz w:val="24"/>
          <w:szCs w:val="24"/>
        </w:rPr>
        <w:t>Westereng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B., </w:t>
      </w:r>
      <w:r w:rsidRPr="007B0E75">
        <w:rPr>
          <w:rFonts w:ascii="Arial" w:hAnsi="Arial" w:cs="Arial"/>
          <w:i/>
          <w:sz w:val="24"/>
          <w:szCs w:val="24"/>
          <w:u w:val="single"/>
        </w:rPr>
        <w:t>Pontiggia, D.,</w:t>
      </w:r>
      <w:r w:rsidRPr="007B0E75">
        <w:rPr>
          <w:rFonts w:ascii="Arial" w:hAnsi="Arial" w:cs="Arial"/>
          <w:sz w:val="24"/>
          <w:szCs w:val="24"/>
        </w:rPr>
        <w:t xml:space="preserve">De Lorenzo, G., </w:t>
      </w:r>
      <w:proofErr w:type="spellStart"/>
      <w:r w:rsidRPr="007B0E75">
        <w:rPr>
          <w:rFonts w:ascii="Arial" w:hAnsi="Arial" w:cs="Arial"/>
          <w:sz w:val="24"/>
          <w:szCs w:val="24"/>
        </w:rPr>
        <w:t>Domozych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D. S. and </w:t>
      </w:r>
      <w:proofErr w:type="spellStart"/>
      <w:r w:rsidRPr="007B0E75">
        <w:rPr>
          <w:rFonts w:ascii="Arial" w:hAnsi="Arial" w:cs="Arial"/>
          <w:sz w:val="24"/>
          <w:szCs w:val="24"/>
        </w:rPr>
        <w:t>Willats</w:t>
      </w:r>
      <w:proofErr w:type="spellEnd"/>
      <w:r w:rsidRPr="007B0E75">
        <w:rPr>
          <w:rFonts w:ascii="Arial" w:hAnsi="Arial" w:cs="Arial"/>
          <w:sz w:val="24"/>
          <w:szCs w:val="24"/>
        </w:rPr>
        <w:t xml:space="preserve">, W. G. T. </w:t>
      </w:r>
      <w:r w:rsidRPr="007B0E75">
        <w:rPr>
          <w:rFonts w:ascii="Arial" w:hAnsi="Arial" w:cs="Arial"/>
          <w:b/>
          <w:sz w:val="24"/>
          <w:szCs w:val="24"/>
        </w:rPr>
        <w:t>(2017).</w:t>
      </w:r>
      <w:r w:rsidRPr="007B0E75">
        <w:rPr>
          <w:rFonts w:ascii="Arial" w:hAnsi="Arial" w:cs="Arial"/>
          <w:sz w:val="24"/>
          <w:szCs w:val="24"/>
          <w:u w:val="single"/>
          <w:lang w:val="en-US"/>
        </w:rPr>
        <w:t>An oligogalacturonide-derived molecular probe demonstrates the dynamics of calcium-mediated pectin complexation in cell walls of tip-growing structures.</w:t>
      </w:r>
      <w:r w:rsidRPr="007B0E75">
        <w:rPr>
          <w:rFonts w:ascii="Arial" w:hAnsi="Arial" w:cs="Arial"/>
          <w:b/>
          <w:sz w:val="24"/>
          <w:szCs w:val="24"/>
        </w:rPr>
        <w:t>The Plant Journal</w:t>
      </w:r>
      <w:r w:rsidRPr="007B0E75">
        <w:rPr>
          <w:rFonts w:ascii="Arial" w:hAnsi="Arial" w:cs="Arial"/>
          <w:sz w:val="24"/>
          <w:szCs w:val="24"/>
        </w:rPr>
        <w:t xml:space="preserve">. </w:t>
      </w:r>
      <w:r w:rsidRPr="007B0E75">
        <w:rPr>
          <w:rFonts w:ascii="Arial" w:hAnsi="Arial" w:cs="Arial"/>
          <w:i/>
          <w:color w:val="222222"/>
          <w:sz w:val="24"/>
          <w:szCs w:val="24"/>
          <w:highlight w:val="white"/>
        </w:rPr>
        <w:t>91</w:t>
      </w:r>
      <w:r w:rsidRPr="007B0E75">
        <w:rPr>
          <w:rFonts w:ascii="Arial" w:hAnsi="Arial" w:cs="Arial"/>
          <w:color w:val="222222"/>
          <w:sz w:val="24"/>
          <w:szCs w:val="24"/>
          <w:highlight w:val="white"/>
        </w:rPr>
        <w:t>(3), 534-546.</w:t>
      </w:r>
      <w:r w:rsidRPr="007B0E75">
        <w:rPr>
          <w:rFonts w:ascii="Arial" w:hAnsi="Arial" w:cs="Arial"/>
          <w:sz w:val="24"/>
          <w:szCs w:val="24"/>
        </w:rPr>
        <w:t xml:space="preserve">Doi:10.1111/tpj.13574 </w:t>
      </w:r>
    </w:p>
    <w:p w:rsidR="0080638F" w:rsidRPr="007B0E75" w:rsidRDefault="0080638F" w:rsidP="0080638F">
      <w:pPr>
        <w:spacing w:after="144"/>
        <w:jc w:val="both"/>
        <w:rPr>
          <w:rFonts w:ascii="Arial" w:eastAsia="Arial" w:hAnsi="Arial" w:cs="Arial"/>
          <w:b/>
          <w:sz w:val="24"/>
          <w:szCs w:val="24"/>
        </w:rPr>
      </w:pPr>
    </w:p>
    <w:p w:rsidR="0080638F" w:rsidRPr="007B0E75" w:rsidRDefault="00F273B3" w:rsidP="0080638F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  <w:lang w:val="en-GB"/>
        </w:rPr>
      </w:pPr>
      <w:r w:rsidRPr="007B0E7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REFERENCES </w:t>
      </w:r>
    </w:p>
    <w:p w:rsidR="00142604" w:rsidRPr="007B0E75" w:rsidRDefault="00142604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Barghahn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S,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Arnal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G, Jain N,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Petutschnig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E,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Brumer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H, Lipka V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(2021) Mixed-linkage b-1,3/1,4-glucan oligosaccharides induce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defense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responses in </w:t>
      </w:r>
      <w:proofErr w:type="spellStart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>Hordeum</w:t>
      </w:r>
      <w:proofErr w:type="spellEnd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vulgare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and </w:t>
      </w:r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>Arabidopsis thaliana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. Frontiers in Plant Science </w:t>
      </w: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12: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682439</w:t>
      </w: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Bigeard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J,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Colcombet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J,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Hirt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H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(2015)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Signaling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mechanisms in pattern-triggered immunity (PTI). Molecular Plant </w:t>
      </w: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8: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521-539</w:t>
      </w: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Gamir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J,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Minchev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Z,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Berrio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E, Garcia JM, De Lorenzo G, Pozo MJ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(2020) Roots drive oligogalacturonide-induced systemic immunity in tomato. Plant, Cell and Environment </w:t>
      </w: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lastRenderedPageBreak/>
        <w:t xml:space="preserve">Johnson JM,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Thurich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J,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Petutschnig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EK,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Altschmied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L,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Meichsner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D,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Sherameti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I,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Dindas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J,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Mrozinska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A,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Paetz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C, Scholz SS, Furch ACU, Lipka V, Hedrich R, Schneider B,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Svatos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A,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Oelmuller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R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(2018) A Poly(A)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ribonuclease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controls the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cellotriose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-based interaction between </w:t>
      </w:r>
      <w:proofErr w:type="spellStart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>Piriformospora</w:t>
      </w:r>
      <w:proofErr w:type="spellEnd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7B0E75">
        <w:rPr>
          <w:rFonts w:ascii="Arial" w:hAnsi="Arial" w:cs="Arial"/>
          <w:i/>
          <w:color w:val="000000"/>
          <w:sz w:val="24"/>
          <w:szCs w:val="24"/>
          <w:lang w:val="en-GB"/>
        </w:rPr>
        <w:t>indica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and its host Arabidopsis. Plant Physiology </w:t>
      </w: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176: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2496-2514</w:t>
      </w: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Peng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Y, van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Wersch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R, Zhang Y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(2018) Convergent and Divergent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Signaling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in PAMP-Triggered Immunity and Effector-Triggered Immunity. Molecular Plant Microbe Interactions </w:t>
      </w: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Souza CA, Li S, Lin AZ, </w:t>
      </w:r>
      <w:proofErr w:type="spellStart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Boutrot</w:t>
      </w:r>
      <w:proofErr w:type="spellEnd"/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F, Grossmann G, Zipfel C, Somerville SC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(2017) Cellulose-derived oligomers act as damage-associated molecular patterns and trigger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defense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-like responses. Plant Physiology </w:t>
      </w: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173: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2383-2398</w:t>
      </w:r>
    </w:p>
    <w:p w:rsidR="00672864" w:rsidRPr="007B0E75" w:rsidRDefault="00F273B3" w:rsidP="0067286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Vega-Munoz I, Duran-Flores D, Fernandez-Fernandez AD, Heyman J, Ritter A, Stael S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(2020) Breaking bad news: dynamic molecular mechanisms of wound response in plants. Frontiers in Plant Science </w:t>
      </w: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11: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610445</w:t>
      </w:r>
    </w:p>
    <w:p w:rsidR="00672864" w:rsidRPr="007B0E75" w:rsidRDefault="00672864" w:rsidP="00F273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B0E75">
        <w:rPr>
          <w:rFonts w:ascii="Arial" w:hAnsi="Arial" w:cs="Arial"/>
          <w:b/>
          <w:color w:val="000000"/>
          <w:sz w:val="24"/>
          <w:szCs w:val="24"/>
          <w:lang w:val="en-GB"/>
        </w:rPr>
        <w:t>Wu, Binyan, Fan Qi, and Yan Liang.</w:t>
      </w:r>
      <w:r w:rsidRPr="007B0E7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"</w:t>
      </w:r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Fuels for ROS </w:t>
      </w:r>
      <w:proofErr w:type="spellStart"/>
      <w:r w:rsidRPr="007B0E75">
        <w:rPr>
          <w:rFonts w:ascii="Arial" w:hAnsi="Arial" w:cs="Arial"/>
          <w:color w:val="000000"/>
          <w:sz w:val="24"/>
          <w:szCs w:val="24"/>
          <w:lang w:val="en-GB"/>
        </w:rPr>
        <w:t>signaling</w:t>
      </w:r>
      <w:proofErr w:type="spellEnd"/>
      <w:r w:rsidRPr="007B0E75">
        <w:rPr>
          <w:rFonts w:ascii="Arial" w:hAnsi="Arial" w:cs="Arial"/>
          <w:color w:val="000000"/>
          <w:sz w:val="24"/>
          <w:szCs w:val="24"/>
          <w:lang w:val="en-GB"/>
        </w:rPr>
        <w:t xml:space="preserve"> in plant immunity."</w:t>
      </w:r>
      <w:r w:rsidRPr="007B0E7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 </w:t>
      </w:r>
      <w:r w:rsidRPr="007B0E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Trends in Plant Science</w:t>
      </w:r>
      <w:r w:rsidRPr="007B0E75">
        <w:rPr>
          <w:rFonts w:ascii="Arial" w:hAnsi="Arial" w:cs="Arial"/>
          <w:color w:val="222222"/>
          <w:sz w:val="24"/>
          <w:szCs w:val="24"/>
          <w:shd w:val="clear" w:color="auto" w:fill="FFFFFF"/>
        </w:rPr>
        <w:t> (2023).</w:t>
      </w: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</w:p>
    <w:p w:rsidR="00F273B3" w:rsidRPr="007B0E75" w:rsidRDefault="00F273B3" w:rsidP="00F273B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</w:p>
    <w:p w:rsidR="00AB6CA8" w:rsidRPr="00142604" w:rsidRDefault="00AB6CA8">
      <w:pPr>
        <w:rPr>
          <w:rFonts w:ascii="Arial" w:hAnsi="Arial" w:cs="Arial"/>
          <w:lang w:val="en-GB"/>
        </w:rPr>
      </w:pPr>
    </w:p>
    <w:sectPr w:rsidR="00AB6CA8" w:rsidRPr="00142604" w:rsidSect="008C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E59"/>
    <w:multiLevelType w:val="hybridMultilevel"/>
    <w:tmpl w:val="DA6CE130"/>
    <w:lvl w:ilvl="0" w:tplc="A4305DEE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C580836"/>
    <w:multiLevelType w:val="multilevel"/>
    <w:tmpl w:val="3F16ACCC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0DE4"/>
    <w:rsid w:val="000A2D30"/>
    <w:rsid w:val="000F70AB"/>
    <w:rsid w:val="00142604"/>
    <w:rsid w:val="002D3DAB"/>
    <w:rsid w:val="00577A04"/>
    <w:rsid w:val="005F32A5"/>
    <w:rsid w:val="00672864"/>
    <w:rsid w:val="006F6DE3"/>
    <w:rsid w:val="007102B1"/>
    <w:rsid w:val="007A5C6A"/>
    <w:rsid w:val="007B0E75"/>
    <w:rsid w:val="007D0C8B"/>
    <w:rsid w:val="008007C3"/>
    <w:rsid w:val="0080638F"/>
    <w:rsid w:val="008C4A55"/>
    <w:rsid w:val="008C6C4B"/>
    <w:rsid w:val="00903AC3"/>
    <w:rsid w:val="00944867"/>
    <w:rsid w:val="009525A0"/>
    <w:rsid w:val="00AB6CA8"/>
    <w:rsid w:val="00BD55E4"/>
    <w:rsid w:val="00C45976"/>
    <w:rsid w:val="00CC7BF1"/>
    <w:rsid w:val="00DD46A1"/>
    <w:rsid w:val="00DF7C33"/>
    <w:rsid w:val="00E52329"/>
    <w:rsid w:val="00E80EA4"/>
    <w:rsid w:val="00F20DE4"/>
    <w:rsid w:val="00F273B3"/>
    <w:rsid w:val="00F9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DE4"/>
    <w:pPr>
      <w:spacing w:after="200" w:line="276" w:lineRule="auto"/>
    </w:pPr>
    <w:rPr>
      <w:kern w:val="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0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unhideWhenUsed/>
    <w:rsid w:val="005F32A5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F27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273B3"/>
    <w:rPr>
      <w:rFonts w:ascii="Times New Roman" w:eastAsia="Times New Roman" w:hAnsi="Times New Roman" w:cs="Times New Roman"/>
      <w:kern w:val="0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inward/authorDetails.url?authorID=23095722000&amp;partnerID=MN8TO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pontiggia@uniroma1.it" TargetMode="External"/><Relationship Id="rId5" Type="http://schemas.openxmlformats.org/officeDocument/2006/relationships/hyperlink" Target="mailto:Danie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 Lorenzo</dc:creator>
  <cp:keywords/>
  <dc:description/>
  <cp:lastModifiedBy>Utente</cp:lastModifiedBy>
  <cp:revision>12</cp:revision>
  <dcterms:created xsi:type="dcterms:W3CDTF">2023-05-12T11:33:00Z</dcterms:created>
  <dcterms:modified xsi:type="dcterms:W3CDTF">2023-05-19T13:17:00Z</dcterms:modified>
</cp:coreProperties>
</file>