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7835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DOTTORATO DI RICERCA IN BIOLOGIA CELLULARE E DELLO SVILUPPO</w:t>
      </w:r>
    </w:p>
    <w:p w14:paraId="16F92F2C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39 CYCLE</w:t>
      </w:r>
    </w:p>
    <w:p w14:paraId="28AD2688" w14:textId="77777777" w:rsidR="00234E20" w:rsidRDefault="00234E20" w:rsidP="00234E20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0935B03" w14:textId="4AE40553" w:rsidR="00234E20" w:rsidRP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Project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proposal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for a Sapienza PhD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scholarship</w:t>
      </w:r>
      <w:proofErr w:type="spellEnd"/>
    </w:p>
    <w:p w14:paraId="601777FD" w14:textId="15892F30" w:rsid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Main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research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line</w:t>
      </w:r>
    </w:p>
    <w:p w14:paraId="5C0B08A2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630ABC" w14:textId="77777777" w:rsidR="00234E20" w:rsidRP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Title: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Microbial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dynamics in the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–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lung-skin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axis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during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Elexacaftor-Tezacaftor-Ivacaftor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therapy in people with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159FC8BC" w14:textId="77777777" w:rsidR="00234E20" w:rsidRP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Short: MYSTIC</w:t>
      </w:r>
    </w:p>
    <w:p w14:paraId="7DD3B4B8" w14:textId="7E35E7EA" w:rsid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Supervisor: </w:t>
      </w:r>
      <w:hyperlink r:id="rId5" w:history="1">
        <w:r w:rsidRPr="00E72704">
          <w:rPr>
            <w:rStyle w:val="Collegamentoipertestuale"/>
            <w:rFonts w:ascii="Arial" w:hAnsi="Arial" w:cs="Arial"/>
            <w:b/>
            <w:bCs/>
            <w:sz w:val="23"/>
            <w:szCs w:val="23"/>
          </w:rPr>
          <w:t>enea.didomenico@uniroma1.it</w:t>
        </w:r>
      </w:hyperlink>
    </w:p>
    <w:p w14:paraId="2DE48048" w14:textId="22F07560" w:rsid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hyperlink r:id="rId6" w:history="1">
        <w:r w:rsidRPr="00E72704">
          <w:rPr>
            <w:rStyle w:val="Collegamentoipertestuale"/>
            <w:rFonts w:ascii="Arial" w:hAnsi="Arial" w:cs="Arial"/>
            <w:b/>
            <w:bCs/>
            <w:sz w:val="23"/>
            <w:szCs w:val="23"/>
          </w:rPr>
          <w:t>https://corsidilaurea.uniroma1.it/it/users/eneadidomenicouniroma1it</w:t>
        </w:r>
      </w:hyperlink>
    </w:p>
    <w:p w14:paraId="0289F778" w14:textId="77777777" w:rsidR="00234E20" w:rsidRP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1A1589" w14:textId="58EA1B99" w:rsidR="00234E20" w:rsidRP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Summary</w:t>
      </w:r>
      <w:proofErr w:type="spellEnd"/>
    </w:p>
    <w:p w14:paraId="2DB8F845" w14:textId="77777777" w:rsidR="00234E20" w:rsidRPr="00234E20" w:rsidRDefault="00234E20" w:rsidP="00234E20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leading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cause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morbidity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mortality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people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(CF).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However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other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typical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manifestations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include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maldigestion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malabsorption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nutrients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small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bacterial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overgrowth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elevated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chloride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concentrations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sweat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(1-3).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people with CF, high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mucus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production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hyperinflammation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provide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favorable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conditions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chronic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colonization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opportunistic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(4-6).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Similarly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significant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variations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diversity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composition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reported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compared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healthy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controls (7,8). Clinical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interventions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improve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outcomes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demonstrated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to impact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microbiota. (9-11).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Those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observations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allowed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defining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–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axis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linking the state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to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health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outcomes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(12,13).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Other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studies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demonstrated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airway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diversity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decreases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progress over time,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becoming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dominated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opportunistic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(4).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Besides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people with CF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associated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development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malignancy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liver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cirrhosis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airway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colonization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(14-17).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airway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affect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local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distant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immune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responses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providing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evidence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bidirectional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link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pathophysiology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multiple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(18-21).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Indeed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people with CF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showed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rates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atopy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drug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hypersensitivity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reactions,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cutaneous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vasculitis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general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population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(22).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imbalance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communities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affect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homeostasis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different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epithelial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districts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suggesting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complex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host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-wide network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broadens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gut-lung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axis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including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potentially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other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body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districts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(23).</w:t>
      </w:r>
    </w:p>
    <w:p w14:paraId="2C193E31" w14:textId="77777777" w:rsidR="00234E20" w:rsidRPr="00234E20" w:rsidRDefault="00234E20" w:rsidP="00234E20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advent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transmembrane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conductance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regulator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(CFTR)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modulators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greatly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improved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treatment of people with CF (24-26). The triple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combination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elexacaftor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tezacaftor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(ETI)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demonstrated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clinical benefit in people with one 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two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copies of the F508del CFTR allele (27,28).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particular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ETI therapy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showed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modulatory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activity on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sputum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diversity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approximately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75%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treated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individuals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(29).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Furthermore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alpha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diversity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after ETI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demonstrates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people with CF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became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more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complex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lastRenderedPageBreak/>
        <w:t>reducing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relative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abundance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(29).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addition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pulmonary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body</w:t>
      </w:r>
    </w:p>
    <w:p w14:paraId="5F73B072" w14:textId="77777777" w:rsidR="00234E20" w:rsidRDefault="00234E20" w:rsidP="00234E20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mass index (BMI) after ETI treatment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suggests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clinically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significant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improvements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outside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function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can be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obtained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(28,30).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understanding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changes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affecting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airway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during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ETI treatments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help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develop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novel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strategies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therapeutic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interventions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improving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activity of the CFTR modulator and the overall live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quality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people with CF.</w:t>
      </w:r>
    </w:p>
    <w:p w14:paraId="60171061" w14:textId="77777777" w:rsidR="00234E20" w:rsidRPr="00234E20" w:rsidRDefault="00234E20" w:rsidP="00234E20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444ECAA" w14:textId="6FDC449C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References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3381B24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1. Cutting GR.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genetics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from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molecular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understanding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to clinical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application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Genet. 2015 Jan;16(1):45-56.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10.1038/nrg3849.</w:t>
      </w:r>
    </w:p>
    <w:p w14:paraId="6A75DE69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2. De Lisle RC,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Borowitz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D.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intestine.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Cold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Spring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Harb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Perspect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. 2013 Sep 1;3(9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):a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009753.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10.1101/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cshperspect.a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>009753.</w:t>
      </w:r>
    </w:p>
    <w:p w14:paraId="46E25409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Ehre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C, Ridley C, Thornton DJ.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an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inherited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affecting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mucin-producing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organs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Int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Biochem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Cell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2014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Jul;52:136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-45.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10.1016/j.biocel.2014.03.011.</w:t>
      </w:r>
    </w:p>
    <w:p w14:paraId="73BEBAB4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Bevivino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Bacci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Drevinek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P, Nelson MT, Hoffman L, Mengoni A.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Deciphering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Ecology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Bacterial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Communities: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Towards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Systems-Level Integration.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Trends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 Mol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2019 Dec;25(12):1110-1122.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10.1016/j.molmed.2019.07.008.</w:t>
      </w:r>
    </w:p>
    <w:p w14:paraId="770D78A2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5. Coburn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Wang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PW, Diaz Caballero J, Clark ST, Brahma V,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Donaldson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S, Zhang Y, Surendra A, Gong Y, Elizabeth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Tullis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Yau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YC, Waters VJ, Hwang DM,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Guttman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DS.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across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age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stage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Sci Rep. 2015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14;5:10241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10.1038/srep10241.</w:t>
      </w:r>
    </w:p>
    <w:p w14:paraId="5AD9D8C2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6. Zhao 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Schloss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Kalikin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LM, Carmody LA, Foster BK, Petrosino JF,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Cavalcoli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VanDevanter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DR, Murray S, Li JZ, Young VB,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LiPuma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JJ. Decade-long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bacterial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community dynamics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airways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Proc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Natl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Acad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Sci U S A. 2012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Apr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10;109(15):5809-14.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10.1073/pnas.1120577109.</w:t>
      </w:r>
    </w:p>
    <w:p w14:paraId="725D78B1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7. Bruzzese E, Callegari ML, Raia V, Viscovo S, Scotto R, Ferrari S, Morelli L, Buccigrossi V, Lo Vecchio A, Ruberto E, Guarino A.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Disrupted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children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restoration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Lactobacillus GG: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randomised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clinical trial. PLoS One. 2014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Feb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19;9(2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):e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87796.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10.1371/journal.pone.0087796.</w:t>
      </w:r>
    </w:p>
    <w:p w14:paraId="06EC25ED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8. Nielsen S, Needham B, Leach ST, Day AS,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Jaffe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Thomas T,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CY.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Disrupted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progression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with age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children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Sci Rep. 2016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4;6:24857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10.1038/srep24857.</w:t>
      </w:r>
    </w:p>
    <w:p w14:paraId="2C779FE2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CY, Syed SA, Rossi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Garg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Needham B, Avolio J, Young K,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Surette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Gonska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T. Impact of CFTR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modulation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on Gut Microbiota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Sci Rep. 2018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13;8(1):17834.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10.1038/s41598-018-36364-6.</w:t>
      </w:r>
    </w:p>
    <w:p w14:paraId="043D7014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10. Sergeev V, Chou FY,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GY, Hamilton CM, Wilcox PG,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Quon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BS.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Extrapulmonary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Effects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Transmembrane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Conductance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Regulator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lastRenderedPageBreak/>
        <w:t>Modulators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Ann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Thorac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Soc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2020 Feb;17(2):147-154.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10.1513/AnnalsATS.201909-671CME.</w:t>
      </w:r>
    </w:p>
    <w:p w14:paraId="440173FA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11. Rowe SM,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Heltshe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Gonska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Donaldson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SH,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Borowitz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Gelfond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Sagel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SD, Khan U, Mayer-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Hamblett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N, Van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Dalfsen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Joseloff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Ramsey BW; GOAL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Investigators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Foundation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Therapeutics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Development Network. Clinical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mechanism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transmembrane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conductance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regulator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potentiator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G551D-mediated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Crit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Care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2014 Jul 15;190(2):175-84.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10.1164/rccm.201404-0703OC.</w:t>
      </w:r>
    </w:p>
    <w:p w14:paraId="06CB06F4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12.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Budden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Gellatly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SL, Wood DL, Cooper MA, Morrison 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Hugenholtz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Hansbro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PM.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Emerging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links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and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gut-lung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axis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2017 Jan;15(1):55-63.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10.1038/nrmicro.2016.142.</w:t>
      </w:r>
    </w:p>
    <w:p w14:paraId="35D67CE8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Madan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Koestler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DC, Stanton BA, Davidson L, Moulton LA,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Housman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ML, Moore JH,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Guill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MF, Morrison HG, Sogin ML, Hampton TH,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Karagas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MR, Palumbo PE, Foster JA,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Hibberd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PL, O'Toole GA. Serial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analysis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infancy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interaction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tracts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impact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nutritional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exposures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mBio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2012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21;3(4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):e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00251-12.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10.1128/mBio.00251-12.</w:t>
      </w:r>
    </w:p>
    <w:p w14:paraId="0082A7F4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14. Manor O, Levy R, Pope CE, Hayden HS,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Brittnacher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MJ, Carr 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Radey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MC, Hager KR,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Heltshe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SL, Ramsey BW, Miller SI, Hoffman LR,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Borenstein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Metagenomic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evidence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taxonomic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functional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imbalance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tracts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children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Sci Rep. 2016 Mar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4;6:22493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10.1038/srep22493.</w:t>
      </w:r>
    </w:p>
    <w:p w14:paraId="2F71DCAF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15. Hoffman LR, Pope CE, Hayden HS,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Heltshe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S, Levy R, McNamara S, Jacobs MA,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Rohmer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Radey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Ramsey BW,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Brittnacher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Borenstein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Miller SI. Escherichia coli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correlates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dysfunction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children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Clin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2014 Feb;58(3):396-9.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10.1093/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cid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/cit715.</w:t>
      </w:r>
    </w:p>
    <w:p w14:paraId="3E2C0363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16.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Garg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CY.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Enigmatic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Gut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Linking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and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Risk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Malignancy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Curr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Gastroenterol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Rep. 2017 Feb;19(2):6.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10.1007/s11894-017-0546-0.</w:t>
      </w:r>
    </w:p>
    <w:p w14:paraId="398ABBD4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17. Yamada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Komaki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Y,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Komaki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Zullow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Sakuraba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A. Risk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cancers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systematic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review and meta-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analysis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Lancet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Oncol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2018 Jun;19(6):758-767.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10.1016/S1470-2045(18)30188-8.</w:t>
      </w:r>
    </w:p>
    <w:p w14:paraId="1A54817E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18. De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Pessemier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Grine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Debaere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Paetzold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Callewaert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C. Gut-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Axis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Current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Knowledge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Interrelationship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Conditions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Microorganisms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2021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Feb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11;9(2):353.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10.3390/microorganisms9020353.</w:t>
      </w:r>
    </w:p>
    <w:p w14:paraId="36F89192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19. Di Domenico EG, Cavallo I, Capitanio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Ascenzioni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Morrone A, Ensoli F.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Staphylococcus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aureus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Cutaneous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Biofilms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Pathogenesis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Atopic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Dermatitis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Microorganisms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2019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29;7(9):301.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10.3390/microorganisms7090301.</w:t>
      </w:r>
    </w:p>
    <w:p w14:paraId="78F55CDC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20.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Chapat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Chemin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K, Dubois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Bourdet-Sicard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Kaiserlian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D. Lactobacillus casei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reduces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CD8+ 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cell-mediated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Eur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2004 Sep;34(9):2520-8.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10.1002/eji.200425139.</w:t>
      </w:r>
    </w:p>
    <w:p w14:paraId="77F8676B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lastRenderedPageBreak/>
        <w:t xml:space="preserve">21. Salem I,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Ramser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Isham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N,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Ghannoum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MA. The Gut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 Major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Regulator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Gut-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Axis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2018 Jul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10;9:1459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10.3389/fmicb.2018.01459.</w:t>
      </w:r>
    </w:p>
    <w:p w14:paraId="0FA46BAF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22. Bernstein ML,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McCusker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MM, Grant-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Kels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JM.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Cutaneous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manifestations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Pediatr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Dermatol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2008 Mar-Apr;25(2):150-7.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10.1111/j.1525-1470.2008.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00620.x.</w:t>
      </w:r>
      <w:proofErr w:type="gramEnd"/>
    </w:p>
    <w:p w14:paraId="31C3DD23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Grier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McDavid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Wang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Qiu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X, Java 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Bandyopadhyay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S, Yang H, Holden-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Wiltse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J, Kessler HA, Gill AL,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Huyck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H,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Falsey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Topham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Scheible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KM, Caserta MT,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Pryhuber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GS, Gill SR.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Neonatal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microbiota: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coordinated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development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through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time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space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2018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26;6(1):193.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10.1186/s40168-018-0566-5.</w:t>
      </w:r>
    </w:p>
    <w:p w14:paraId="420742E9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CY,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Durie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PR.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from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gastroenterologist's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perspective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Nat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Gastroenterol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Hepatol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2016 Mar;13(3):175-85.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10.1038/nrgastro.2015.226.</w:t>
      </w:r>
    </w:p>
    <w:p w14:paraId="2B9EAB27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25. Konrad 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Eber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Stadlbauer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V.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Changing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paradigms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treatment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gastrointestinal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complications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era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</w:p>
    <w:p w14:paraId="0118CE17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transmembrane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conductance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regulator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modulators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Paediatr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Rev. 2020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24:S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1526-0542(20)30181-0.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10.1016/j.prrv.2020.12.001.</w:t>
      </w:r>
    </w:p>
    <w:p w14:paraId="2FA6F072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26. Scott P, Anderson K,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Singhania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Cormier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CFTR,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Colorectal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Cancer. Int J Mol Sci. 2020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Apr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21;21(8):2891.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10.3390/ijms21082891.</w:t>
      </w:r>
    </w:p>
    <w:p w14:paraId="3262FFB6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27.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Heijerman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HGM,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McKone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EF, Downey DG, Van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Braeckel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Rowe SM,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Tullis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Mall MA, Welter JJ, Ramsey BW,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McKee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Marigowda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Moskowitz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SM, Waltz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Sosnay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Simard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Ahluwalia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N,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Xuan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Zhang Y, Taylor-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Cousar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JL, McCoy KS; VX17-445-103 Trial Group.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Efficacy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safety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elexacaftor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plus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tezacaftor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plus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combination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regimen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people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homozygous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the F508del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mutation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a double-blind,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randomised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phase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3 trial. Lancet. 2019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Nov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23;394(10212):1940-1948.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10.1016/S0140-6736(19)32597-8.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Epub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2019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31.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Erratum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in: Lancet. 2020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30;395(10238):1694.</w:t>
      </w:r>
    </w:p>
    <w:p w14:paraId="1AF8B43C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28. Middleton PG, Mall MA,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Dřevínek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P, Lands LC,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McKone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Polineni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D, Ramsey BW, Taylor-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Cousar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Tullis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Vermeulen 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Marigowda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McKee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Moskowitz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SM, Nair N, Savage 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Simard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Tian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S, Waltz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Xuan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Rowe SM, Jain R; VX17-445-102 Study Group.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Elexacaftor-Tezacaftor-Ivacaftor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a Single Phe508del Allele. 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Engl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2019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Nov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7;381(19):1809-1819.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10.1056/NEJMoa1908639.</w:t>
      </w:r>
    </w:p>
    <w:p w14:paraId="52272C16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29.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Sosinski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LM, H CM,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Neugebauer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Ghuneim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LJ,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Guzior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DV, Castillo-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Bahena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Mielke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J, Thomas R, McClelland M, Conrad D, Quinn RA.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restructuring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niche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space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associated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Elexacaftor-Tezacaftor-Ivacaftor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therapy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2021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Nov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22:S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1569-1993(21)02131-7.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10.1016/j.jcf.2021.11.003.</w:t>
      </w:r>
    </w:p>
    <w:p w14:paraId="43D338B9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30. O'Shea KM,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O'Carroll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OM, Carroll C, Grogan B, Connolly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O'Shaughnessy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L, Nicholson TT, Gallagher CG,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McKone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EF.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Efficacy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elexacaftor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tezacaftor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ivacaftor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advanced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Eur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Respir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J. 2021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Feb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25;57(2):2003079.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10.1183/13993003.03079-2020.</w:t>
      </w:r>
    </w:p>
    <w:p w14:paraId="1933E295" w14:textId="77777777" w:rsid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lastRenderedPageBreak/>
        <w:t xml:space="preserve">31.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Scagnolari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C, Bitossi C, Frasca F, Viscido A, Brazzini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Trancassini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Pietropaolo V,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Midulla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Cimino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Palange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P, Pierangeli A, Antonelli G.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Differential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toll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like receptor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expression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'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airways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during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rhinovirus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2020 Nov;81(5):726-735.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10.1016/j.jinf.2020.07.021.</w:t>
      </w:r>
    </w:p>
    <w:p w14:paraId="07B735FF" w14:textId="77777777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</w:p>
    <w:p w14:paraId="76882BA4" w14:textId="77777777" w:rsidR="00234E20" w:rsidRP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Pertinent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Publications of the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proponent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(last 5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years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60FF37A6" w14:textId="672ECA3D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Cavallo I, Sivori F, Truglio M, De Maio F, Lucantoni F, Cardinali G, Pontone M, Bernardi T, Sanguinetti M, Capitanio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Cristaudo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Ascenzioni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Morrone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Di Domenico EG.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Cutibacterium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acnes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biofilm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acne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lesions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adolescents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Sci Rep. 2022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6;12(1):21104.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10.1038/s41598-022-25436-3.</w:t>
      </w:r>
    </w:p>
    <w:p w14:paraId="3A06CBEC" w14:textId="315AEC5D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Binaymotlagh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R, Del Giudice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Mignardi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S, Amato F, Marrani AG, Sivori F, Cavallo I, Di Domenico EG,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Palocci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Chronopoulou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L. Green In Situ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Synthesis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Silver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Nanoparticles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-Peptide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Hydrogel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Composites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Investigation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Their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Antibacterial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Activities.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Gels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2022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29;8(11):700.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10.3390/gels8110700.</w:t>
      </w:r>
    </w:p>
    <w:p w14:paraId="31C9F6CD" w14:textId="6DEC2EF1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Cavallo I,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Lesnoni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La Parola I, Sivori F, Toma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Koudriavtseva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T, Sperduti I, Kovacs D, D'Agosto G, Trento E, Cameli N, Mussi A, Latini A, Morrone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Di Domenico EG.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Homocysteine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Inflammatory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Cytokines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Clinical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Assessment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Venous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Leg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Ulcers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Antibiotics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(Basel). 2022 Sep 18;11(9):1268.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10.3390/antibiotics11091268.</w:t>
      </w:r>
    </w:p>
    <w:p w14:paraId="2C0DD6B0" w14:textId="49A0F574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Di Domenico EG, Oliva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Guembe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M.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Current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Knowledge on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Pathogenesis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Tissue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Medical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Device-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Related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Biofilm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Microorganisms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2022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Jun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21;10(7):1259.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10.3390/microorganisms10071259.</w:t>
      </w:r>
    </w:p>
    <w:p w14:paraId="29F1EAF7" w14:textId="2419B826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Sivori F, Cavallo I, Kovacs D,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Guembe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Sperduti I, Truglio M, Pasqua M, Prignano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Mastrofrancesco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Toma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Morrone A, Ensoli F, Di Domenico EG.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Role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Extracellular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DNA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Dalbavancin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Activity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against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Methicillin-Resistant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Staphylococcus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aureus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(MRSA)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Biofilms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Skin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Soft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Tissue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Spectr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2022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Apr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27;10(2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):e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0035122.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10.1128/spectrum.00351-22.</w:t>
      </w:r>
    </w:p>
    <w:p w14:paraId="40CFD514" w14:textId="59059031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>Oliva A, Stefani S, Venditti M, Di Domenico EG. Biofilm-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Related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Gram-Positive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Bacteria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Potential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Role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Long-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Acting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Agent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Dalbavancin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2021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22;12:749685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10.3389/fmicb.2021.749685.</w:t>
      </w:r>
    </w:p>
    <w:p w14:paraId="002E47D2" w14:textId="3A872E57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Di Domenico EG, Marchesi F, Cavallo I, Toma L, Sivori F, Papa E, Spadea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Cafarella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Terrenato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I, Prignano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Mastrofrancesco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D'Agosto G, Trento E, Morrone A, Mengarelli A, Ensoli F. The Impact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Bacterial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Biofilms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on End-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Organ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Mortality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Hematologic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Malignancies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Developing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Bloodstream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Spectr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. 2021 Sep 3;9(1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):e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0055021.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10.1128/Spectrum.00550-21.</w:t>
      </w:r>
    </w:p>
    <w:p w14:paraId="0A85F7D1" w14:textId="0093E865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Di Domenico EG, Cavallo I, Sivori F, Marchesi F, Prignano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Sperduti I, Pelagalli L, Di Salvo F, Celesti I, Paluzzi S,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Pronesti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Koudriavtseva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Ascenzioni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Toma L, De Luca A, Mengarelli A, Ensoli F. Biofilm Production by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Carbapenem-Resistant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Klebsiella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pneumoniae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Significantly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Risk of Death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Oncological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Front Cell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2020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10;10:561741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10.3389/fcimb.2020.561741.</w:t>
      </w:r>
    </w:p>
    <w:p w14:paraId="5080CD11" w14:textId="3F254E5A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lastRenderedPageBreak/>
        <w:t xml:space="preserve">Alonso B, Fernández-Barat L, Di Domenico EG,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Marín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Cercenado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Merino I, de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Pablos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Muñoz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Guembe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Characterization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virulence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Pseudomonas aeruginosa strains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causing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ventilator-associated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pneumonia. BMC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2020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1;20(1):909.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10.1186/s12879-020-05534-1.</w:t>
      </w:r>
    </w:p>
    <w:p w14:paraId="7847D99C" w14:textId="679D4EAF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>Di Domenico EG, De Angelis B, Cavallo I, Sivori F, Orlandi F, Fernandes Lopes Morais D'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Autilio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Di Segni C, Gentile P, Scioli MG, Orlandi A, D'Agosto G, Trento E, Kovacs D, Cardinali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Stefanile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Koudriavtseva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T, Prignano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Lesnoni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La Parola I, Toma L, Cervelli V, Ensoli F. Silver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Sulfadiazine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Eradicates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Antibiotic-Tolerant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Staphylococcus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aureus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Pseudomonas aeruginosa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Biofilms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Diabetic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Foot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Ulcers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Clin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2020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Nov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25;9(12):3807.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10.3390/jcm9123807.</w:t>
      </w:r>
    </w:p>
    <w:p w14:paraId="77741B6C" w14:textId="05D7403C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Di Bella S,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Campisciano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G, Luzzati R, Di Domenico EG, Lovecchio A, Pappalardo A,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M, Gatti G.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Bacterial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colonization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explanted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non-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endocarditis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cardiac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valves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evidence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characterization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valvular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Interact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Cardiovasc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Thorac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Surg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2021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Apr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8;32(3):457-459.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10.1093/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icvts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/ivaa285.</w:t>
      </w:r>
    </w:p>
    <w:p w14:paraId="3C4CF1D9" w14:textId="65763813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Marchesi F, Toma L, Di Domenico EG, Cavallo I, Spadea A, Prignano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Papa E,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Terrenato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I, Ensoli F, Mengarelli A.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Ceftolozane-Tazobactam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Febrile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Neutropenia Treatment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Hematologic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Malignancy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Colonized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by Multi-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Resistant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Enterobacteriaceae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: Preliminary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Results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from 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Prospective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Cohort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Study.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Mediterr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J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Hematol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. 2020 Sep 1;12(1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):e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2020065.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10.4084/MJHID.2020.065.</w:t>
      </w:r>
    </w:p>
    <w:p w14:paraId="6EE6F629" w14:textId="056F880E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Cavinato L,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Genise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E,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Luly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FR, Di Domenico EG, Del Porto P,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Ascenzioni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Escaping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Phagocytic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Oxidative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Burst: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Role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SODB in the Survival of Pseudomonas aeruginosa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Within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Macrophages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2020 Mar </w:t>
      </w:r>
      <w:proofErr w:type="gramStart"/>
      <w:r w:rsidRPr="00234E20">
        <w:rPr>
          <w:rFonts w:ascii="Arial" w:hAnsi="Arial" w:cs="Arial"/>
          <w:color w:val="000000"/>
          <w:sz w:val="23"/>
          <w:szCs w:val="23"/>
        </w:rPr>
        <w:t>10;11:326</w:t>
      </w:r>
      <w:proofErr w:type="gram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10.3389/fmicb.2020.00326.</w:t>
      </w:r>
    </w:p>
    <w:p w14:paraId="2D7E650D" w14:textId="455E0CF0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Di Domenico EG, Rimoldi SG, Cavallo I, D'Agosto G, Trento E, Cagnoni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Palazzin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A, Pagani C, Romeri F, De Vecchi E, Schiavini M, Secchi D, Antona C, Rizzardini 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Dichirico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RB, Toma L, Kovacs D, Cardinali G, Gallo MT, Gismondo MR, Ensoli F.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Microbial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biofilm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correlates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with an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increased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antibiotic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tolerance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poor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therapeutic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outcome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infective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endocarditis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BMC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Microbiol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2019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Oct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21;19(1):228.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10.1186/s12866-019-1596-2.</w:t>
      </w:r>
    </w:p>
    <w:p w14:paraId="64F77BC3" w14:textId="13333748" w:rsidR="00234E20" w:rsidRPr="00234E20" w:rsidRDefault="00234E20" w:rsidP="00234E20">
      <w:pPr>
        <w:pStyle w:val="Paragrafoelenco"/>
        <w:numPr>
          <w:ilvl w:val="0"/>
          <w:numId w:val="8"/>
        </w:numPr>
        <w:rPr>
          <w:rFonts w:ascii="Arial" w:hAnsi="Arial" w:cs="Arial"/>
          <w:color w:val="000000"/>
          <w:sz w:val="23"/>
          <w:szCs w:val="23"/>
        </w:r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Di Domenico EG, Cavallo I, Capitanio B,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Ascenzioni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Pimpinelli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Morrone A, Ensoli F.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Staphylococcus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aureus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and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Cutaneous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Microbiota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Biofilms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Pathogenesis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Atopic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Dermatitis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Microorganisms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. 2019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Aug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29;7(9):301.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>: 10.3390/microorganisms7090301.</w:t>
      </w:r>
    </w:p>
    <w:p w14:paraId="4CB42676" w14:textId="419A0E9D" w:rsidR="008E24AB" w:rsidRPr="00234E20" w:rsidRDefault="00234E20" w:rsidP="00234E20">
      <w:pPr>
        <w:pStyle w:val="Paragrafoelenco"/>
        <w:numPr>
          <w:ilvl w:val="0"/>
          <w:numId w:val="8"/>
        </w:numPr>
      </w:pPr>
      <w:r w:rsidRPr="00234E20">
        <w:rPr>
          <w:rFonts w:ascii="Arial" w:hAnsi="Arial" w:cs="Arial"/>
          <w:color w:val="000000"/>
          <w:sz w:val="23"/>
          <w:szCs w:val="23"/>
        </w:rPr>
        <w:t xml:space="preserve">Sardo C, Di Domenico EG,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Porsio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B, De Rocco D, Santucci R,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Ascenzioni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F, Giammona G, Cavallaro G.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Nanometric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ion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pair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complexes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tobramycin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forming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microparticles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for the treatment of Pseudomonas aeruginosa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infections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234E20">
        <w:rPr>
          <w:rFonts w:ascii="Arial" w:hAnsi="Arial" w:cs="Arial"/>
          <w:color w:val="000000"/>
          <w:sz w:val="23"/>
          <w:szCs w:val="23"/>
        </w:rPr>
        <w:t>cystic</w:t>
      </w:r>
      <w:proofErr w:type="spellEnd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>fibrosis</w:t>
      </w:r>
      <w:proofErr w:type="spellEnd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 xml:space="preserve">. Int J </w:t>
      </w:r>
      <w:proofErr w:type="spellStart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>Pharm</w:t>
      </w:r>
      <w:proofErr w:type="spellEnd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 xml:space="preserve">. 2019 </w:t>
      </w:r>
      <w:proofErr w:type="spellStart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>May</w:t>
      </w:r>
      <w:proofErr w:type="spellEnd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gramStart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>30;563:347</w:t>
      </w:r>
      <w:proofErr w:type="gramEnd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 xml:space="preserve">-357. </w:t>
      </w:r>
      <w:proofErr w:type="spellStart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>doi</w:t>
      </w:r>
      <w:proofErr w:type="spellEnd"/>
      <w:r w:rsidRPr="00234E20">
        <w:rPr>
          <w:rFonts w:ascii="Arial" w:hAnsi="Arial" w:cs="Arial"/>
          <w:i/>
          <w:iCs/>
          <w:color w:val="000000"/>
          <w:sz w:val="23"/>
          <w:szCs w:val="23"/>
        </w:rPr>
        <w:t>: 10.1016/j.ijpharm.2019.03.060.</w:t>
      </w:r>
    </w:p>
    <w:sectPr w:rsidR="008E24AB" w:rsidRPr="0023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32F"/>
    <w:multiLevelType w:val="hybridMultilevel"/>
    <w:tmpl w:val="B61E1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AF8"/>
    <w:multiLevelType w:val="hybridMultilevel"/>
    <w:tmpl w:val="ECC042D2"/>
    <w:lvl w:ilvl="0" w:tplc="537AC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029"/>
    <w:multiLevelType w:val="hybridMultilevel"/>
    <w:tmpl w:val="0AA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3C30"/>
    <w:multiLevelType w:val="hybridMultilevel"/>
    <w:tmpl w:val="407E9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06CDD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CF9"/>
    <w:multiLevelType w:val="hybridMultilevel"/>
    <w:tmpl w:val="00B2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BA2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362275"/>
    <w:multiLevelType w:val="hybridMultilevel"/>
    <w:tmpl w:val="48CA0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9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4616597">
    <w:abstractNumId w:val="7"/>
  </w:num>
  <w:num w:numId="2" w16cid:durableId="1419404836">
    <w:abstractNumId w:val="5"/>
  </w:num>
  <w:num w:numId="3" w16cid:durableId="1104375956">
    <w:abstractNumId w:val="3"/>
  </w:num>
  <w:num w:numId="4" w16cid:durableId="1904363853">
    <w:abstractNumId w:val="4"/>
  </w:num>
  <w:num w:numId="5" w16cid:durableId="175702349">
    <w:abstractNumId w:val="1"/>
  </w:num>
  <w:num w:numId="6" w16cid:durableId="2097244764">
    <w:abstractNumId w:val="2"/>
  </w:num>
  <w:num w:numId="7" w16cid:durableId="1276405109">
    <w:abstractNumId w:val="0"/>
  </w:num>
  <w:num w:numId="8" w16cid:durableId="1432313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AB"/>
    <w:rsid w:val="000A4670"/>
    <w:rsid w:val="00234E20"/>
    <w:rsid w:val="002E2186"/>
    <w:rsid w:val="008E24AB"/>
    <w:rsid w:val="00C20B51"/>
    <w:rsid w:val="00D95681"/>
    <w:rsid w:val="00E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E7BB8"/>
  <w15:chartTrackingRefBased/>
  <w15:docId w15:val="{1D86641B-B329-481D-B096-4C587FE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2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24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4A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sidilaurea.uniroma1.it/it/users/eneadidomenicouniroma1it" TargetMode="External"/><Relationship Id="rId5" Type="http://schemas.openxmlformats.org/officeDocument/2006/relationships/hyperlink" Target="mailto:enea.didomenico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Simone Ferrari</cp:lastModifiedBy>
  <cp:revision>2</cp:revision>
  <dcterms:created xsi:type="dcterms:W3CDTF">2023-05-17T12:02:00Z</dcterms:created>
  <dcterms:modified xsi:type="dcterms:W3CDTF">2023-05-17T12:02:00Z</dcterms:modified>
</cp:coreProperties>
</file>