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3A" w:rsidRDefault="00AD45EB">
      <w:pPr>
        <w:jc w:val="center"/>
        <w:rPr>
          <w:rFonts w:ascii="Arial" w:eastAsia="Arial" w:hAnsi="Arial" w:cs="Arial"/>
          <w:b/>
          <w:i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i/>
          <w:color w:val="000000"/>
        </w:rPr>
        <w:t>DOTTORATO DI RICERCA IN BIOLOGIA CELLULARE E DELLO SVILUPPO</w:t>
      </w:r>
    </w:p>
    <w:p w:rsidR="00AA1511" w:rsidRDefault="00AA1511">
      <w:pPr>
        <w:jc w:val="center"/>
        <w:rPr>
          <w:rFonts w:ascii="Times New Roman" w:eastAsia="Times New Roman" w:hAnsi="Times New Roman" w:cs="Times New Roman"/>
        </w:rPr>
      </w:pPr>
    </w:p>
    <w:p w:rsidR="0039023A" w:rsidRDefault="00AA1511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XXXIX </w:t>
      </w:r>
      <w:r w:rsidR="00AD45EB">
        <w:rPr>
          <w:rFonts w:ascii="Arial" w:eastAsia="Arial" w:hAnsi="Arial" w:cs="Arial"/>
          <w:b/>
          <w:color w:val="000000"/>
        </w:rPr>
        <w:t>Cycle</w:t>
      </w:r>
    </w:p>
    <w:p w:rsidR="00AA1511" w:rsidRDefault="00AA1511">
      <w:pPr>
        <w:jc w:val="center"/>
        <w:rPr>
          <w:rFonts w:ascii="Times New Roman" w:eastAsia="Times New Roman" w:hAnsi="Times New Roman" w:cs="Times New Roman"/>
        </w:rPr>
      </w:pPr>
    </w:p>
    <w:p w:rsidR="0039023A" w:rsidRDefault="00AD45EB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Project proposal for a PhD scholarship (with no financial support from </w:t>
      </w:r>
      <w:proofErr w:type="spellStart"/>
      <w:r>
        <w:rPr>
          <w:rFonts w:ascii="Arial" w:eastAsia="Arial" w:hAnsi="Arial" w:cs="Arial"/>
          <w:b/>
          <w:color w:val="000000"/>
        </w:rPr>
        <w:t>Sapienza</w:t>
      </w:r>
      <w:proofErr w:type="spellEnd"/>
      <w:r>
        <w:rPr>
          <w:rFonts w:ascii="Arial" w:eastAsia="Arial" w:hAnsi="Arial" w:cs="Arial"/>
          <w:b/>
          <w:color w:val="000000"/>
        </w:rPr>
        <w:t>)</w:t>
      </w:r>
    </w:p>
    <w:p w:rsidR="00AA1511" w:rsidRDefault="00AA1511">
      <w:pPr>
        <w:jc w:val="center"/>
        <w:rPr>
          <w:rFonts w:ascii="Times New Roman" w:eastAsia="Times New Roman" w:hAnsi="Times New Roman" w:cs="Times New Roman"/>
        </w:rPr>
      </w:pPr>
    </w:p>
    <w:p w:rsidR="0039023A" w:rsidRDefault="0039023A">
      <w:pPr>
        <w:rPr>
          <w:rFonts w:ascii="Times New Roman" w:eastAsia="Times New Roman" w:hAnsi="Times New Roman" w:cs="Times New Roman"/>
        </w:rPr>
      </w:pPr>
    </w:p>
    <w:p w:rsidR="0039023A" w:rsidRDefault="00AD45EB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Title of the research: </w:t>
      </w:r>
    </w:p>
    <w:p w:rsidR="0039023A" w:rsidRDefault="00AD45E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Aberrant chromatin-nuclear lamina interactions in </w:t>
      </w:r>
      <w:proofErr w:type="spellStart"/>
      <w:r>
        <w:rPr>
          <w:rFonts w:ascii="Arial" w:eastAsia="Arial" w:hAnsi="Arial" w:cs="Arial"/>
          <w:color w:val="000000"/>
        </w:rPr>
        <w:t>stromal</w:t>
      </w:r>
      <w:proofErr w:type="spellEnd"/>
      <w:r>
        <w:rPr>
          <w:rFonts w:ascii="Arial" w:eastAsia="Arial" w:hAnsi="Arial" w:cs="Arial"/>
          <w:color w:val="000000"/>
        </w:rPr>
        <w:t xml:space="preserve"> cells as underlying mechanism of </w:t>
      </w:r>
      <w:proofErr w:type="spellStart"/>
      <w:r>
        <w:rPr>
          <w:rFonts w:ascii="Arial" w:eastAsia="Arial" w:hAnsi="Arial" w:cs="Arial"/>
          <w:color w:val="000000"/>
        </w:rPr>
        <w:t>rhabdomyosarcoma</w:t>
      </w:r>
      <w:proofErr w:type="spellEnd"/>
      <w:r>
        <w:rPr>
          <w:rFonts w:ascii="Arial" w:eastAsia="Arial" w:hAnsi="Arial" w:cs="Arial"/>
          <w:color w:val="000000"/>
        </w:rPr>
        <w:t xml:space="preserve"> initiation</w:t>
      </w:r>
    </w:p>
    <w:p w:rsidR="0039023A" w:rsidRDefault="0039023A">
      <w:pPr>
        <w:rPr>
          <w:rFonts w:ascii="Times New Roman" w:eastAsia="Times New Roman" w:hAnsi="Times New Roman" w:cs="Times New Roman"/>
        </w:rPr>
      </w:pPr>
    </w:p>
    <w:p w:rsidR="0039023A" w:rsidRDefault="00AD45EB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Supervisor: </w:t>
      </w:r>
    </w:p>
    <w:p w:rsidR="0039023A" w:rsidRDefault="00AD45E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proofErr w:type="spellStart"/>
      <w:r>
        <w:rPr>
          <w:rFonts w:ascii="Arial" w:eastAsia="Arial" w:hAnsi="Arial" w:cs="Arial"/>
          <w:color w:val="000000"/>
        </w:rPr>
        <w:t>Chiara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Mozzetta</w:t>
      </w:r>
      <w:proofErr w:type="spellEnd"/>
    </w:p>
    <w:p w:rsidR="0039023A" w:rsidRDefault="00AD45E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IBPM-CNR</w:t>
      </w:r>
    </w:p>
    <w:p w:rsidR="0039023A" w:rsidRDefault="00AD45EB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chiara.mozzetta@uniroma1.it</w:t>
      </w:r>
    </w:p>
    <w:p w:rsidR="0039023A" w:rsidRDefault="0039023A">
      <w:pPr>
        <w:rPr>
          <w:rFonts w:ascii="Times New Roman" w:eastAsia="Times New Roman" w:hAnsi="Times New Roman" w:cs="Times New Roman"/>
        </w:rPr>
      </w:pPr>
    </w:p>
    <w:p w:rsidR="0039023A" w:rsidRDefault="00AD45EB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Tutor:</w:t>
      </w:r>
    </w:p>
    <w:p w:rsidR="0039023A" w:rsidRDefault="00AD45EB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proofErr w:type="spellStart"/>
      <w:r>
        <w:rPr>
          <w:rFonts w:ascii="Arial" w:eastAsia="Arial" w:hAnsi="Arial" w:cs="Arial"/>
          <w:color w:val="000000"/>
        </w:rPr>
        <w:t>Chiara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Mozzetta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</w:p>
    <w:p w:rsidR="0039023A" w:rsidRDefault="00AD45EB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chia</w:t>
      </w:r>
      <w:r>
        <w:rPr>
          <w:rFonts w:ascii="Arial" w:eastAsia="Arial" w:hAnsi="Arial" w:cs="Arial"/>
          <w:color w:val="000000"/>
        </w:rPr>
        <w:t>ra.mozzetta@uniroma1.it</w:t>
      </w:r>
    </w:p>
    <w:p w:rsidR="0039023A" w:rsidRDefault="0039023A">
      <w:pPr>
        <w:jc w:val="both"/>
        <w:rPr>
          <w:rFonts w:ascii="Arial" w:eastAsia="Arial" w:hAnsi="Arial" w:cs="Arial"/>
          <w:b/>
          <w:color w:val="000000"/>
        </w:rPr>
      </w:pPr>
    </w:p>
    <w:p w:rsidR="0039023A" w:rsidRDefault="00AD45EB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Host Institution:</w:t>
      </w:r>
    </w:p>
    <w:p w:rsidR="0039023A" w:rsidRDefault="00AD45EB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IBPM-CNR</w:t>
      </w:r>
    </w:p>
    <w:p w:rsidR="0039023A" w:rsidRDefault="0039023A">
      <w:pPr>
        <w:rPr>
          <w:rFonts w:ascii="Times New Roman" w:eastAsia="Times New Roman" w:hAnsi="Times New Roman" w:cs="Times New Roman"/>
        </w:rPr>
      </w:pPr>
    </w:p>
    <w:p w:rsidR="0039023A" w:rsidRDefault="00AD45EB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Summary</w:t>
      </w:r>
    </w:p>
    <w:p w:rsidR="00AA1511" w:rsidRDefault="00AA15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23A" w:rsidRDefault="00AD45EB">
      <w:pP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Spatial genome organization is crucial to maintain proper gene expression patterns in a cell-type specific manner. Silent heterochromatin is spatially confined towards the nuclea</w:t>
      </w:r>
      <w:r>
        <w:rPr>
          <w:rFonts w:ascii="Arial" w:eastAsia="Arial" w:hAnsi="Arial" w:cs="Arial"/>
          <w:color w:val="000000"/>
          <w:highlight w:val="white"/>
        </w:rPr>
        <w:t>r periphery and anchored to the nuclear lamina (NL) by lamina-associated domains (LADs), in which alternate fate genes are embedded to maintain cell identity. However, how heterochromatic lamina-associated regions are inherited after every cell division to</w:t>
      </w:r>
      <w:r>
        <w:rPr>
          <w:rFonts w:ascii="Arial" w:eastAsia="Arial" w:hAnsi="Arial" w:cs="Arial"/>
          <w:color w:val="000000"/>
          <w:highlight w:val="white"/>
        </w:rPr>
        <w:t xml:space="preserve"> maintain cell identity and whether re-establishment of peripheral heterochromatin organization is disrupted as a pre-requisite of malignant cell transformation is poorly studied. We have recently shown that the identity of skeletal muscle-resident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PDGFRα</w:t>
      </w:r>
      <w:proofErr w:type="spellEnd"/>
      <w:r>
        <w:rPr>
          <w:rFonts w:ascii="Arial" w:eastAsia="Arial" w:hAnsi="Arial" w:cs="Arial"/>
          <w:color w:val="000000"/>
          <w:highlight w:val="white"/>
        </w:rPr>
        <w:t>+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mesenchymal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progenitors (MPs) is controlled by PRDM16, a nuclear envelope protein that acts as an anchor for H3K9me2-marked chromatin at the NL to mediate LADs organization. Our results indicate that loss of PRDM16 impairs proper LADs establishment, induc</w:t>
      </w:r>
      <w:r>
        <w:rPr>
          <w:rFonts w:ascii="Arial" w:eastAsia="Arial" w:hAnsi="Arial" w:cs="Arial"/>
          <w:color w:val="000000"/>
          <w:highlight w:val="white"/>
        </w:rPr>
        <w:t xml:space="preserve">ing nuclear abnormalities and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aneuploidy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in MPs that derail their fate towards 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myoblastic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stage.</w:t>
      </w:r>
    </w:p>
    <w:p w:rsidR="0039023A" w:rsidRDefault="00AD45E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Since MPs are possible candidates as cells of origin, at least of a subset of </w:t>
      </w:r>
      <w:proofErr w:type="spellStart"/>
      <w:r>
        <w:rPr>
          <w:rFonts w:ascii="Arial" w:eastAsia="Arial" w:hAnsi="Arial" w:cs="Arial"/>
        </w:rPr>
        <w:t>rhabdomyosarcomas</w:t>
      </w:r>
      <w:proofErr w:type="spellEnd"/>
      <w:r>
        <w:rPr>
          <w:rFonts w:ascii="Arial" w:eastAsia="Arial" w:hAnsi="Arial" w:cs="Arial"/>
        </w:rPr>
        <w:t xml:space="preserve"> (RMS) and </w:t>
      </w:r>
      <w:r>
        <w:rPr>
          <w:rFonts w:ascii="Arial" w:eastAsia="Arial" w:hAnsi="Arial" w:cs="Arial"/>
          <w:i/>
        </w:rPr>
        <w:t>PRDM16</w:t>
      </w:r>
      <w:r>
        <w:rPr>
          <w:rFonts w:ascii="Arial" w:eastAsia="Arial" w:hAnsi="Arial" w:cs="Arial"/>
        </w:rPr>
        <w:t xml:space="preserve"> has been recently reported among the recurrent deletions in RMS, we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 xml:space="preserve">hypothesize that PRDM16 loss of function predisposes MPs to </w:t>
      </w:r>
      <w:proofErr w:type="spellStart"/>
      <w:r>
        <w:rPr>
          <w:rFonts w:ascii="Arial" w:eastAsia="Arial" w:hAnsi="Arial" w:cs="Arial"/>
        </w:rPr>
        <w:t>myoblastic</w:t>
      </w:r>
      <w:proofErr w:type="spellEnd"/>
      <w:r>
        <w:rPr>
          <w:rFonts w:ascii="Arial" w:eastAsia="Arial" w:hAnsi="Arial" w:cs="Arial"/>
        </w:rPr>
        <w:t xml:space="preserve"> transformation by impairing stable LADs-NL interaction. </w:t>
      </w:r>
    </w:p>
    <w:p w:rsidR="0039023A" w:rsidRDefault="00AD45E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test our hypothesis and to understand how this is achiev</w:t>
      </w:r>
      <w:r>
        <w:rPr>
          <w:rFonts w:ascii="Arial" w:eastAsia="Arial" w:hAnsi="Arial" w:cs="Arial"/>
        </w:rPr>
        <w:t>ed, we aim:</w:t>
      </w:r>
    </w:p>
    <w:p w:rsidR="0039023A" w:rsidRDefault="00AD45E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to study if PRDM16 mediates LADs-NL interactions, genome integrity and proper genome segregation during MPs’ cell cycle progression</w:t>
      </w:r>
    </w:p>
    <w:p w:rsidR="0039023A" w:rsidRDefault="00AD45E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to investigate if PRDM16 ablation in MPs promotes RMS-genesis in vivo.</w:t>
      </w:r>
    </w:p>
    <w:p w:rsidR="0039023A" w:rsidRDefault="00AD45E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The results gained by our project have the potential to uncover a precise molecular and cellular context that allow RMS development, having the potential to identify a precise RMS subset. Moreover, our data showing PRDM16 as a regulator of heterochromatin </w:t>
      </w:r>
      <w:r>
        <w:rPr>
          <w:rFonts w:ascii="Arial" w:eastAsia="Arial" w:hAnsi="Arial" w:cs="Arial"/>
        </w:rPr>
        <w:t>assembly at the nuclear lamina, might inspire future research avenues for those working in other cancers in which PRDM16 is frequently mutated and inactivated.</w:t>
      </w:r>
    </w:p>
    <w:p w:rsidR="0039023A" w:rsidRDefault="0039023A">
      <w:pPr>
        <w:jc w:val="both"/>
        <w:rPr>
          <w:rFonts w:ascii="Arial" w:eastAsia="Arial" w:hAnsi="Arial" w:cs="Arial"/>
        </w:rPr>
      </w:pPr>
    </w:p>
    <w:p w:rsidR="0039023A" w:rsidRDefault="0039023A">
      <w:pP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39023A" w:rsidRDefault="00AD45EB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Pertinent Publications of the proponent (last 5 years)</w:t>
      </w:r>
    </w:p>
    <w:p w:rsidR="0039023A" w:rsidRDefault="0039023A">
      <w:pPr>
        <w:jc w:val="both"/>
        <w:rPr>
          <w:rFonts w:ascii="Times New Roman" w:eastAsia="Times New Roman" w:hAnsi="Times New Roman" w:cs="Times New Roman"/>
        </w:rPr>
      </w:pPr>
    </w:p>
    <w:p w:rsidR="0039023A" w:rsidRDefault="00AD45EB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Dattilo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D., Di </w:t>
      </w:r>
      <w:proofErr w:type="spellStart"/>
      <w:r>
        <w:rPr>
          <w:rFonts w:ascii="Arial" w:eastAsia="Arial" w:hAnsi="Arial" w:cs="Arial"/>
          <w:sz w:val="22"/>
          <w:szCs w:val="22"/>
        </w:rPr>
        <w:t>Timoteo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G., </w:t>
      </w:r>
      <w:proofErr w:type="spellStart"/>
      <w:r>
        <w:rPr>
          <w:rFonts w:ascii="Arial" w:eastAsia="Arial" w:hAnsi="Arial" w:cs="Arial"/>
          <w:sz w:val="22"/>
          <w:szCs w:val="22"/>
        </w:rPr>
        <w:t>Setti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A., G</w:t>
      </w:r>
      <w:r>
        <w:rPr>
          <w:rFonts w:ascii="Arial" w:eastAsia="Arial" w:hAnsi="Arial" w:cs="Arial"/>
          <w:sz w:val="22"/>
          <w:szCs w:val="22"/>
        </w:rPr>
        <w:t xml:space="preserve">iuliani A., Peruzzi G., Beltran M, </w:t>
      </w:r>
      <w:proofErr w:type="spellStart"/>
      <w:r>
        <w:rPr>
          <w:rFonts w:ascii="Arial" w:eastAsia="Arial" w:hAnsi="Arial" w:cs="Arial"/>
          <w:sz w:val="22"/>
          <w:szCs w:val="22"/>
        </w:rPr>
        <w:t>Centron-Broco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A., </w:t>
      </w:r>
      <w:proofErr w:type="spellStart"/>
      <w:r>
        <w:rPr>
          <w:rFonts w:ascii="Arial" w:eastAsia="Arial" w:hAnsi="Arial" w:cs="Arial"/>
          <w:sz w:val="22"/>
          <w:szCs w:val="22"/>
        </w:rPr>
        <w:t>Mariani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D.,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Mozzetta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 xml:space="preserve">., </w:t>
      </w:r>
      <w:proofErr w:type="spellStart"/>
      <w:r>
        <w:rPr>
          <w:rFonts w:ascii="Arial" w:eastAsia="Arial" w:hAnsi="Arial" w:cs="Arial"/>
          <w:sz w:val="22"/>
          <w:szCs w:val="22"/>
        </w:rPr>
        <w:t>Bozzoni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I. The m6A reader YTHDC1 and the RNA </w:t>
      </w:r>
      <w:proofErr w:type="spellStart"/>
      <w:r>
        <w:rPr>
          <w:rFonts w:ascii="Arial" w:eastAsia="Arial" w:hAnsi="Arial" w:cs="Arial"/>
          <w:sz w:val="22"/>
          <w:szCs w:val="22"/>
        </w:rPr>
        <w:t>helicase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DDX5 promote the production of </w:t>
      </w:r>
      <w:proofErr w:type="spellStart"/>
      <w:r>
        <w:rPr>
          <w:rFonts w:ascii="Arial" w:eastAsia="Arial" w:hAnsi="Arial" w:cs="Arial"/>
          <w:sz w:val="22"/>
          <w:szCs w:val="22"/>
        </w:rPr>
        <w:t>rhabdomyosarcoma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-enriched </w:t>
      </w:r>
      <w:proofErr w:type="spellStart"/>
      <w:r>
        <w:rPr>
          <w:rFonts w:ascii="Arial" w:eastAsia="Arial" w:hAnsi="Arial" w:cs="Arial"/>
          <w:sz w:val="22"/>
          <w:szCs w:val="22"/>
        </w:rPr>
        <w:t>circRNAs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i/>
          <w:sz w:val="22"/>
          <w:szCs w:val="22"/>
        </w:rPr>
        <w:t>Nature Communications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2023 Apr 5;14(1):1898.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doi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 10.1038/s41467-023-37578-7.</w:t>
      </w:r>
    </w:p>
    <w:p w:rsidR="0039023A" w:rsidRDefault="00AD4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Gualtieri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Bianconi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V.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Licursi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Renzini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Pieroni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L.,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Mozzetta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 RNA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helicase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DDX5 cooperates with EHMT2 to sustain alveolar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rhabdomyosarcoma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growth.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Cell Reports, </w:t>
      </w:r>
      <w:r>
        <w:rPr>
          <w:rFonts w:ascii="Arial" w:eastAsia="Arial" w:hAnsi="Arial" w:cs="Arial"/>
          <w:color w:val="000000"/>
          <w:sz w:val="22"/>
          <w:szCs w:val="22"/>
        </w:rPr>
        <w:t>2022,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40</w:t>
      </w:r>
      <w:r>
        <w:rPr>
          <w:rFonts w:ascii="Arial" w:eastAsia="Arial" w:hAnsi="Arial" w:cs="Arial"/>
          <w:color w:val="000000"/>
          <w:sz w:val="22"/>
          <w:szCs w:val="22"/>
        </w:rPr>
        <w:t>, Aug 30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>. Doi.org/10.1016/j.celrep.2022.111267</w:t>
      </w:r>
    </w:p>
    <w:p w:rsidR="0039023A" w:rsidRDefault="00AD4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Randazzo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Sinisi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Gornati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Bertuolo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Bencheva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L.,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Matteo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Nibbio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Monteagudo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Turcano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Bianconi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V., Peruzzi G., Summa V.,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Bresciani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A.,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Mozzetta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</w:t>
      </w:r>
      <w:r>
        <w:rPr>
          <w:rFonts w:ascii="Arial" w:eastAsia="Arial" w:hAnsi="Arial" w:cs="Arial"/>
          <w:color w:val="000000"/>
          <w:sz w:val="22"/>
          <w:szCs w:val="22"/>
        </w:rPr>
        <w:t>., Di Fabio R. Identification and in vitro c</w:t>
      </w:r>
      <w:r>
        <w:rPr>
          <w:rFonts w:ascii="Arial" w:eastAsia="Arial" w:hAnsi="Arial" w:cs="Arial"/>
          <w:color w:val="000000"/>
          <w:sz w:val="22"/>
          <w:szCs w:val="22"/>
        </w:rPr>
        <w:t>haracterization of a new series of potent and highly selective G9a inhibitors as novel anti-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fibroadipogenic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agents.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Bioorganic and Medicinal Chemistry Letters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2022 Sept 15.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10.1016/j.bmcl.2022.128858</w:t>
      </w:r>
    </w:p>
    <w:p w:rsidR="0039023A" w:rsidRDefault="00AD4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 Stefano M.E.,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Ferretti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Mozzetta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Synaptic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alterations as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neurodevelopmental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trait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Duchenne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muscular dystrophy.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Neurobiology of Disease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2022 Jun 15;168:105718.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10.1016/j.nbd.2022.105718. </w:t>
      </w:r>
    </w:p>
    <w:p w:rsidR="0039023A" w:rsidRDefault="00AD4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Bianconi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V. and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Mozzetta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Epigenetic control of muscle stem cells: time for a new dimension.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Trend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s in Genetics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2022 Jan 22:S0168-9525(22)00001-4.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doi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: 10.1016/j.tig.2022.01.001. Invited review.</w:t>
      </w:r>
    </w:p>
    <w:p w:rsidR="0039023A" w:rsidRDefault="00AD4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Macino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Biferali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Cipriano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Ballarino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Mozzetta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Targeting the Expression of Long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Noncoding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RNAs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Murine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Satellite Cells from Single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Myofibers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Bio </w:t>
      </w:r>
      <w:proofErr w:type="spell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Protoc</w:t>
      </w:r>
      <w:proofErr w:type="spellEnd"/>
      <w:r>
        <w:rPr>
          <w:rFonts w:ascii="Arial" w:eastAsia="Arial" w:hAnsi="Arial" w:cs="Arial"/>
          <w:b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2021 Nov 5;11(21):e4209. </w:t>
      </w:r>
    </w:p>
    <w:p w:rsidR="0039023A" w:rsidRDefault="00AD4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Biferali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Bianconi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V., Fernandez Perez D.,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Pöhle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Kronawitter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Marullo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Maggio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Santini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Polverino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Biagioni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S., Summa V.,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Toniatti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Pasini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Stricker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S., Di Fabio R.,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Chiacchiera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F., Peruzzi G.,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Mozzetta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Prdm16-mediated H3K9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methy</w:t>
      </w:r>
      <w:r>
        <w:rPr>
          <w:rFonts w:ascii="Arial" w:eastAsia="Arial" w:hAnsi="Arial" w:cs="Arial"/>
          <w:color w:val="000000"/>
          <w:sz w:val="22"/>
          <w:szCs w:val="22"/>
        </w:rPr>
        <w:t>lation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controls Fibro-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Adipogenic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Progenitors identity during skeletal muscle repair. 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Science Advances 2021, 7(23</w:t>
      </w:r>
      <w:r>
        <w:rPr>
          <w:rFonts w:ascii="Arial" w:eastAsia="Arial" w:hAnsi="Arial" w:cs="Arial"/>
          <w:i/>
          <w:color w:val="000000"/>
          <w:sz w:val="22"/>
          <w:szCs w:val="22"/>
        </w:rPr>
        <w:t>), eabd9371</w:t>
      </w:r>
    </w:p>
    <w:p w:rsidR="0039023A" w:rsidRDefault="00AD4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Cipriano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Macino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Bonaiuto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Santini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Biferali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B., Peruzzi G.,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Colantoni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A.,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Mozzetta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perscript"/>
        </w:rPr>
        <w:t>§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Ballarino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perscript"/>
        </w:rPr>
        <w:t>§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Epigenetic regulation of Wnt7b expression by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-acting long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noncoding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lnc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-Rewind in muscle stem cells. </w:t>
      </w:r>
      <w:proofErr w:type="spell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Elife</w:t>
      </w:r>
      <w:proofErr w:type="spellEnd"/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2021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10, pp. 1–25, e54782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perscript"/>
        </w:rPr>
        <w:t xml:space="preserve"> §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co-corresponding.</w:t>
      </w:r>
    </w:p>
    <w:p w:rsidR="0039023A" w:rsidRDefault="00AD4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Pegoli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Lucini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F.,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Mozzetta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perscript"/>
        </w:rPr>
        <w:t>§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Lanzuolo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C#. Single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Myofiber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Isolation and Culture from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Murine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Model of Emery-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Dreifuss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Muscular Dystrophy in Early Post-Natal Development.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Jove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2020; doi:10.3791/61516.  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§</w:t>
      </w:r>
      <w:r>
        <w:rPr>
          <w:rFonts w:ascii="Arial" w:eastAsia="Arial" w:hAnsi="Arial" w:cs="Arial"/>
          <w:color w:val="000000"/>
          <w:sz w:val="22"/>
          <w:szCs w:val="22"/>
        </w:rPr>
        <w:t>co-corresponding</w:t>
      </w:r>
    </w:p>
    <w:p w:rsidR="0039023A" w:rsidRDefault="00AD4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Bianchi A.*,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Mozzetta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C.*,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Pegoli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Lucini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Valsoni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Rost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Petrini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Cortesi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Gregoretti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Antonelli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Oliva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G.,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Bardi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Rizzi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R., Bodega B.,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Pasini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D., Ferrari F.,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Bearzi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Lanzuolo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Polycomb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dysfunctional transcriptional repression contributes 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Lamin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A/C dependent muscular dystrophy.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Jo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urnal of Clinical Investigation.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2020 doi:10.1172/JCI128161 * equal.</w:t>
      </w:r>
    </w:p>
    <w:p w:rsidR="0039023A" w:rsidRDefault="00AD4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Chiacchiera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F, Morey L,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Mozzetta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Editorial: Epigenetic Regulation of Stem Cell Plasticity in Tissue Regeneration and Disease.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Front Cell Dev </w:t>
      </w:r>
      <w:proofErr w:type="spell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Biol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10.3389/fcell.2020.00082. </w:t>
      </w:r>
    </w:p>
    <w:p w:rsidR="0039023A" w:rsidRDefault="00AD45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Mozzetta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perscript"/>
        </w:rPr>
        <w:t>§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Tedesco FS. Challenging the "chromatin hypothesis" of cardiac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laminopathies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with LMNA mutant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iPS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cells.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J Cell Biol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2019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10.1083/jcb.201907166.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perscript"/>
        </w:rPr>
        <w:t>§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corr. Author</w:t>
      </w:r>
    </w:p>
    <w:p w:rsidR="0039023A" w:rsidRDefault="00AD45EB" w:rsidP="00AA15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Biferali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Proietti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D.,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Mozzetta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C.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perscript"/>
        </w:rPr>
        <w:t xml:space="preserve"> §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Madaro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L.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perscript"/>
        </w:rPr>
        <w:t>§</w:t>
      </w:r>
      <w:r>
        <w:rPr>
          <w:rFonts w:ascii="Arial" w:eastAsia="Arial" w:hAnsi="Arial" w:cs="Arial"/>
          <w:color w:val="000000"/>
          <w:sz w:val="22"/>
          <w:szCs w:val="22"/>
        </w:rPr>
        <w:t>. Fibro-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Adipogenic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Progenitors (FAPs) cross-talk in skeletal muscle: the social network.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Frontiers Physiology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2019;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doi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: 10.3389/fphys.2019.01074.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perscript"/>
        </w:rPr>
        <w:t xml:space="preserve"> §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co-corresponding </w:t>
      </w:r>
    </w:p>
    <w:p w:rsidR="00AA1511" w:rsidRPr="00AA1511" w:rsidRDefault="00AA1511" w:rsidP="00AA151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39023A" w:rsidRDefault="0039023A">
      <w:pPr>
        <w:rPr>
          <w:rFonts w:ascii="Times New Roman" w:eastAsia="Times New Roman" w:hAnsi="Times New Roman" w:cs="Times New Roman"/>
        </w:rPr>
      </w:pPr>
    </w:p>
    <w:p w:rsidR="0039023A" w:rsidRDefault="00AD45EB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:rsidR="0039023A" w:rsidRDefault="0039023A">
      <w:pPr>
        <w:jc w:val="both"/>
        <w:rPr>
          <w:rFonts w:ascii="Arial" w:eastAsia="Arial" w:hAnsi="Arial" w:cs="Arial"/>
          <w:sz w:val="22"/>
          <w:szCs w:val="22"/>
        </w:rPr>
      </w:pP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Skapek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S.X., et al.,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Rhabdomyosarcoma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 Rev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Primers, 2019. </w:t>
      </w:r>
      <w:r>
        <w:rPr>
          <w:rFonts w:ascii="Arial" w:eastAsia="Arial" w:hAnsi="Arial" w:cs="Arial"/>
          <w:b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(1): p. 1.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Hettmer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S. and A.J. Wagers,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Muscling in: Uncovering the origins of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rhabdomyosarcoma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 Med, 2010. </w:t>
      </w:r>
      <w:r>
        <w:rPr>
          <w:rFonts w:ascii="Arial" w:eastAsia="Arial" w:hAnsi="Arial" w:cs="Arial"/>
          <w:b/>
          <w:color w:val="000000"/>
          <w:sz w:val="22"/>
          <w:szCs w:val="22"/>
        </w:rPr>
        <w:t>16</w:t>
      </w:r>
      <w:r>
        <w:rPr>
          <w:rFonts w:ascii="Arial" w:eastAsia="Arial" w:hAnsi="Arial" w:cs="Arial"/>
          <w:color w:val="000000"/>
          <w:sz w:val="22"/>
          <w:szCs w:val="22"/>
        </w:rPr>
        <w:t>(2): p. 1</w:t>
      </w:r>
      <w:r>
        <w:rPr>
          <w:rFonts w:ascii="Arial" w:eastAsia="Arial" w:hAnsi="Arial" w:cs="Arial"/>
          <w:color w:val="000000"/>
          <w:sz w:val="22"/>
          <w:szCs w:val="22"/>
        </w:rPr>
        <w:t>71-3.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Keller, C. and D.C.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Guttridge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Mechanisms of impaired differentiation in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rhabdomyosarcoma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FEBS J, 2013.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280</w:t>
      </w:r>
      <w:r>
        <w:rPr>
          <w:rFonts w:ascii="Arial" w:eastAsia="Arial" w:hAnsi="Arial" w:cs="Arial"/>
          <w:color w:val="000000"/>
          <w:sz w:val="22"/>
          <w:szCs w:val="22"/>
        </w:rPr>
        <w:t>(17): p. 4323-34.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Tremblay, A.M., et al.,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The Hippo transducer YAP1 transforms activated satellite cells and is a potent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effector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emb</w:t>
      </w:r>
      <w:r>
        <w:rPr>
          <w:rFonts w:ascii="Arial" w:eastAsia="Arial" w:hAnsi="Arial" w:cs="Arial"/>
          <w:i/>
          <w:color w:val="000000"/>
          <w:sz w:val="22"/>
          <w:szCs w:val="22"/>
        </w:rPr>
        <w:t>ryonal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rhabdomyosarcoma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formation.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Cancer Cell, 2014.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26</w:t>
      </w:r>
      <w:r>
        <w:rPr>
          <w:rFonts w:ascii="Arial" w:eastAsia="Arial" w:hAnsi="Arial" w:cs="Arial"/>
          <w:color w:val="000000"/>
          <w:sz w:val="22"/>
          <w:szCs w:val="22"/>
        </w:rPr>
        <w:t>(2): p. 273-87.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Preussner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J., et al.,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Oncogenic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Amplification of Zygotic Dux Factors in Regenerating p53-Deficient Muscle Stem Cells Defines a Molecular Cancer Subtype.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Cell Stem Cell, 2018.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23</w:t>
      </w:r>
      <w:r>
        <w:rPr>
          <w:rFonts w:ascii="Arial" w:eastAsia="Arial" w:hAnsi="Arial" w:cs="Arial"/>
          <w:color w:val="000000"/>
          <w:sz w:val="22"/>
          <w:szCs w:val="22"/>
        </w:rPr>
        <w:t>(6): p. 794-805 e4.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Boscolo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Sesillo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F., D. Fox, and A. Sacco,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Muscle Stem Cells Give Rise to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Rhabdomyosarcomas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in a Severe Mouse Model of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Duchenne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Muscular Dystrophy.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Cell Rep, 2019.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26</w:t>
      </w:r>
      <w:r>
        <w:rPr>
          <w:rFonts w:ascii="Arial" w:eastAsia="Arial" w:hAnsi="Arial" w:cs="Arial"/>
          <w:color w:val="000000"/>
          <w:sz w:val="22"/>
          <w:szCs w:val="22"/>
        </w:rPr>
        <w:t>(3): p. 689-701 e6.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Charytonowicz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E., et al.,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Alveolar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rhabdomy</w:t>
      </w:r>
      <w:r>
        <w:rPr>
          <w:rFonts w:ascii="Arial" w:eastAsia="Arial" w:hAnsi="Arial" w:cs="Arial"/>
          <w:i/>
          <w:color w:val="000000"/>
          <w:sz w:val="22"/>
          <w:szCs w:val="22"/>
        </w:rPr>
        <w:t>osarcoma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: is the cell of origin 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mesenchymal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stem cell?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Cancer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2009.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279</w:t>
      </w:r>
      <w:r>
        <w:rPr>
          <w:rFonts w:ascii="Arial" w:eastAsia="Arial" w:hAnsi="Arial" w:cs="Arial"/>
          <w:color w:val="000000"/>
          <w:sz w:val="22"/>
          <w:szCs w:val="22"/>
        </w:rPr>
        <w:t>(2): p. 126-36.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Drummond, C.J., et al.,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Hedgehog Pathway Drives Fusion-Negative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Rhabdomyosarcoma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Initiated From Non-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myogenic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Endothelial Progenitors.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Cancer Cell, 2018. </w:t>
      </w:r>
      <w:r>
        <w:rPr>
          <w:rFonts w:ascii="Arial" w:eastAsia="Arial" w:hAnsi="Arial" w:cs="Arial"/>
          <w:b/>
          <w:color w:val="000000"/>
          <w:sz w:val="22"/>
          <w:szCs w:val="22"/>
        </w:rPr>
        <w:t>33</w:t>
      </w:r>
      <w:r>
        <w:rPr>
          <w:rFonts w:ascii="Arial" w:eastAsia="Arial" w:hAnsi="Arial" w:cs="Arial"/>
          <w:color w:val="000000"/>
          <w:sz w:val="22"/>
          <w:szCs w:val="22"/>
        </w:rPr>
        <w:t>(1)</w:t>
      </w:r>
      <w:r>
        <w:rPr>
          <w:rFonts w:ascii="Arial" w:eastAsia="Arial" w:hAnsi="Arial" w:cs="Arial"/>
          <w:color w:val="000000"/>
          <w:sz w:val="22"/>
          <w:szCs w:val="22"/>
        </w:rPr>
        <w:t>: p. 108-124 e5.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9.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Lisboa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S., et al.,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Genetic diagnosis of alveolar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rhabdomyosarcoma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in the bone marrow of a patient without evidence of primary tumor.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Pediatr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Blood Cancer, 2008. </w:t>
      </w:r>
      <w:r>
        <w:rPr>
          <w:rFonts w:ascii="Arial" w:eastAsia="Arial" w:hAnsi="Arial" w:cs="Arial"/>
          <w:b/>
          <w:color w:val="000000"/>
          <w:sz w:val="22"/>
          <w:szCs w:val="22"/>
        </w:rPr>
        <w:t>51</w:t>
      </w:r>
      <w:r>
        <w:rPr>
          <w:rFonts w:ascii="Arial" w:eastAsia="Arial" w:hAnsi="Arial" w:cs="Arial"/>
          <w:color w:val="000000"/>
          <w:sz w:val="22"/>
          <w:szCs w:val="22"/>
        </w:rPr>
        <w:t>(4): p. 554-7.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Shinkoda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Y., et al.,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Rhabdomyosarcoma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masquerading a</w:t>
      </w:r>
      <w:r>
        <w:rPr>
          <w:rFonts w:ascii="Arial" w:eastAsia="Arial" w:hAnsi="Arial" w:cs="Arial"/>
          <w:i/>
          <w:color w:val="000000"/>
          <w:sz w:val="22"/>
          <w:szCs w:val="22"/>
        </w:rPr>
        <w:t>s acute leukemia.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Pediatr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Blood Cancer, 2009. </w:t>
      </w:r>
      <w:r>
        <w:rPr>
          <w:rFonts w:ascii="Arial" w:eastAsia="Arial" w:hAnsi="Arial" w:cs="Arial"/>
          <w:b/>
          <w:color w:val="000000"/>
          <w:sz w:val="22"/>
          <w:szCs w:val="22"/>
        </w:rPr>
        <w:t>52</w:t>
      </w:r>
      <w:r>
        <w:rPr>
          <w:rFonts w:ascii="Arial" w:eastAsia="Arial" w:hAnsi="Arial" w:cs="Arial"/>
          <w:color w:val="000000"/>
          <w:sz w:val="22"/>
          <w:szCs w:val="22"/>
        </w:rPr>
        <w:t>(2): p. 286-7.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11.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Ehnman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M., et al.,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Distinct effects of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ligand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-induced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PDGFRalpha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PDGFRbeta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signaling in the human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rhabdomyosarcoma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tumor cell and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stroma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cell compartments.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Cancer Res, 2013. </w:t>
      </w:r>
      <w:r>
        <w:rPr>
          <w:rFonts w:ascii="Arial" w:eastAsia="Arial" w:hAnsi="Arial" w:cs="Arial"/>
          <w:b/>
          <w:color w:val="000000"/>
          <w:sz w:val="22"/>
          <w:szCs w:val="22"/>
        </w:rPr>
        <w:t>73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(7): p. </w:t>
      </w:r>
      <w:r>
        <w:rPr>
          <w:rFonts w:ascii="Arial" w:eastAsia="Arial" w:hAnsi="Arial" w:cs="Arial"/>
          <w:color w:val="000000"/>
          <w:sz w:val="22"/>
          <w:szCs w:val="22"/>
        </w:rPr>
        <w:t>2139-49.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12.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Taniguchi, E., et al.,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PDGFR-A is a therapeutic target in alveolar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rhabdomyosarcoma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Oncogene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2008.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27</w:t>
      </w:r>
      <w:r>
        <w:rPr>
          <w:rFonts w:ascii="Arial" w:eastAsia="Arial" w:hAnsi="Arial" w:cs="Arial"/>
          <w:color w:val="000000"/>
          <w:sz w:val="22"/>
          <w:szCs w:val="22"/>
        </w:rPr>
        <w:t>(51): p. 6550-60.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13.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Joe, A.W., et al., </w:t>
      </w:r>
      <w:r>
        <w:rPr>
          <w:rFonts w:ascii="Arial" w:eastAsia="Arial" w:hAnsi="Arial" w:cs="Arial"/>
          <w:i/>
          <w:color w:val="000000"/>
          <w:sz w:val="22"/>
          <w:szCs w:val="22"/>
        </w:rPr>
        <w:t>Muscle injury activates resident fibro/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adipogenic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progenitors that facilitate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myogenesis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 Cell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2010. </w:t>
      </w:r>
      <w:r>
        <w:rPr>
          <w:rFonts w:ascii="Arial" w:eastAsia="Arial" w:hAnsi="Arial" w:cs="Arial"/>
          <w:b/>
          <w:color w:val="000000"/>
          <w:sz w:val="22"/>
          <w:szCs w:val="22"/>
        </w:rPr>
        <w:t>12</w:t>
      </w:r>
      <w:r>
        <w:rPr>
          <w:rFonts w:ascii="Arial" w:eastAsia="Arial" w:hAnsi="Arial" w:cs="Arial"/>
          <w:color w:val="000000"/>
          <w:sz w:val="22"/>
          <w:szCs w:val="22"/>
        </w:rPr>
        <w:t>(2): p. 153-63.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14.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Uezumi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A., et al.,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Mesenchymal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progenitors distinct from satellite cells contribute to ectopic fat cell formation in skeletal muscle.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 Cell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2010. </w:t>
      </w:r>
      <w:r>
        <w:rPr>
          <w:rFonts w:ascii="Arial" w:eastAsia="Arial" w:hAnsi="Arial" w:cs="Arial"/>
          <w:b/>
          <w:color w:val="000000"/>
          <w:sz w:val="22"/>
          <w:szCs w:val="22"/>
        </w:rPr>
        <w:t>12</w:t>
      </w:r>
      <w:r>
        <w:rPr>
          <w:rFonts w:ascii="Arial" w:eastAsia="Arial" w:hAnsi="Arial" w:cs="Arial"/>
          <w:color w:val="000000"/>
          <w:sz w:val="22"/>
          <w:szCs w:val="22"/>
        </w:rPr>
        <w:t>(2): p. 143-52.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15.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Biferali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B., et al.,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Prdm16-mediated H3K9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methylation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controls fibro-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adipogenic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progenitors identity during skeletal muscle repair.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Adv, 2021. </w:t>
      </w:r>
      <w:r>
        <w:rPr>
          <w:rFonts w:ascii="Arial" w:eastAsia="Arial" w:hAnsi="Arial" w:cs="Arial"/>
          <w:b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>(23).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16.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Seki, M., et al.,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Integrated genetic and epigenetic analysis defines novel molecular subgroups in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rhabdomyosarcoma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Commun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2015. </w:t>
      </w:r>
      <w:r>
        <w:rPr>
          <w:rFonts w:ascii="Arial" w:eastAsia="Arial" w:hAnsi="Arial" w:cs="Arial"/>
          <w:b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: p. 7557.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17.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van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Schaik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T., et al., </w:t>
      </w:r>
      <w:r>
        <w:rPr>
          <w:rFonts w:ascii="Arial" w:eastAsia="Arial" w:hAnsi="Arial" w:cs="Arial"/>
          <w:i/>
          <w:color w:val="000000"/>
          <w:sz w:val="22"/>
          <w:szCs w:val="22"/>
        </w:rPr>
        <w:t>Cell cycle dynamics of lamina-associated DNA.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EMBO Rep, 2020.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21</w:t>
      </w:r>
      <w:r>
        <w:rPr>
          <w:rFonts w:ascii="Arial" w:eastAsia="Arial" w:hAnsi="Arial" w:cs="Arial"/>
          <w:color w:val="000000"/>
          <w:sz w:val="22"/>
          <w:szCs w:val="22"/>
        </w:rPr>
        <w:t>(11): p. e50636.</w:t>
      </w:r>
    </w:p>
    <w:p w:rsidR="0039023A" w:rsidRDefault="00AD4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18.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Poleshko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A., et al.,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H3K9me2 orchestrates inheritance of spatial positioning of peripheral heterochromatin through </w:t>
      </w:r>
      <w:r>
        <w:rPr>
          <w:rFonts w:ascii="Arial" w:eastAsia="Arial" w:hAnsi="Arial" w:cs="Arial"/>
          <w:i/>
          <w:color w:val="000000"/>
          <w:sz w:val="22"/>
          <w:szCs w:val="22"/>
        </w:rPr>
        <w:t>mitosis.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Elife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2019. </w:t>
      </w:r>
      <w:r>
        <w:rPr>
          <w:rFonts w:ascii="Arial" w:eastAsia="Arial" w:hAnsi="Arial" w:cs="Arial"/>
          <w:b/>
          <w:color w:val="000000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9023A" w:rsidRDefault="0039023A">
      <w:pPr>
        <w:spacing w:after="240"/>
        <w:jc w:val="both"/>
        <w:rPr>
          <w:rFonts w:ascii="Times New Roman" w:eastAsia="Times New Roman" w:hAnsi="Times New Roman" w:cs="Times New Roman"/>
        </w:rPr>
      </w:pPr>
    </w:p>
    <w:p w:rsidR="0039023A" w:rsidRDefault="0039023A" w:rsidP="00AA1511">
      <w:pPr>
        <w:jc w:val="both"/>
        <w:rPr>
          <w:rFonts w:ascii="Arial" w:eastAsia="Arial" w:hAnsi="Arial" w:cs="Arial"/>
          <w:color w:val="000000"/>
        </w:rPr>
      </w:pPr>
    </w:p>
    <w:p w:rsidR="0039023A" w:rsidRDefault="0039023A">
      <w:pPr>
        <w:spacing w:after="240"/>
        <w:rPr>
          <w:rFonts w:ascii="Times New Roman" w:eastAsia="Times New Roman" w:hAnsi="Times New Roman" w:cs="Times New Roman"/>
        </w:rPr>
      </w:pPr>
    </w:p>
    <w:p w:rsidR="0039023A" w:rsidRDefault="0039023A">
      <w:pPr>
        <w:rPr>
          <w:rFonts w:ascii="Times New Roman" w:eastAsia="Times New Roman" w:hAnsi="Times New Roman" w:cs="Times New Roman"/>
        </w:rPr>
      </w:pPr>
    </w:p>
    <w:p w:rsidR="0039023A" w:rsidRDefault="0039023A"/>
    <w:sectPr w:rsidR="0039023A" w:rsidSect="003902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91B"/>
    <w:multiLevelType w:val="multilevel"/>
    <w:tmpl w:val="F6EE8ACE"/>
    <w:lvl w:ilvl="0">
      <w:start w:val="1"/>
      <w:numFmt w:val="decimal"/>
      <w:lvlText w:val="%1."/>
      <w:lvlJc w:val="left"/>
      <w:pPr>
        <w:ind w:left="360" w:hanging="360"/>
      </w:pPr>
      <w:rPr>
        <w:rFonts w:ascii="Helvetica Neue" w:eastAsia="Helvetica Neue" w:hAnsi="Helvetica Neue" w:cs="Helvetica Neue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32373"/>
    <w:multiLevelType w:val="multilevel"/>
    <w:tmpl w:val="6F86F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8EE322B"/>
    <w:multiLevelType w:val="multilevel"/>
    <w:tmpl w:val="D4A20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characterSpacingControl w:val="doNotCompress"/>
  <w:compat/>
  <w:rsids>
    <w:rsidRoot w:val="0039023A"/>
    <w:rsid w:val="0039023A"/>
    <w:rsid w:val="00AA1511"/>
    <w:rsid w:val="00AD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23A"/>
  </w:style>
  <w:style w:type="paragraph" w:styleId="Titolo1">
    <w:name w:val="heading 1"/>
    <w:basedOn w:val="normal"/>
    <w:next w:val="normal"/>
    <w:rsid w:val="003902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902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902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9023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3902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902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9023A"/>
  </w:style>
  <w:style w:type="table" w:customStyle="1" w:styleId="TableNormal">
    <w:name w:val="Table Normal"/>
    <w:rsid w:val="003902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9023A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4F49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4F49A3"/>
    <w:rPr>
      <w:color w:val="0000FF"/>
      <w:u w:val="single"/>
    </w:rPr>
  </w:style>
  <w:style w:type="paragraph" w:customStyle="1" w:styleId="DataField11pt-Single">
    <w:name w:val="Data Field 11pt-Single"/>
    <w:basedOn w:val="Normale"/>
    <w:link w:val="DataField11pt-SingleChar"/>
    <w:rsid w:val="004553C6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Carpredefinitoparagrafo"/>
    <w:link w:val="DataField11pt-Single"/>
    <w:rsid w:val="004553C6"/>
    <w:rPr>
      <w:rFonts w:ascii="Arial" w:eastAsia="Times New Roman" w:hAnsi="Arial" w:cs="Arial"/>
      <w:kern w:val="0"/>
      <w:sz w:val="22"/>
      <w:szCs w:val="20"/>
      <w:lang w:val="en-US"/>
    </w:rPr>
  </w:style>
  <w:style w:type="character" w:styleId="Enfasigrassetto">
    <w:name w:val="Strong"/>
    <w:basedOn w:val="Carpredefinitoparagrafo"/>
    <w:qFormat/>
    <w:rsid w:val="004553C6"/>
    <w:rPr>
      <w:b/>
      <w:bCs/>
    </w:rPr>
  </w:style>
  <w:style w:type="paragraph" w:styleId="Paragrafoelenco">
    <w:name w:val="List Paragraph"/>
    <w:basedOn w:val="Normale"/>
    <w:uiPriority w:val="34"/>
    <w:qFormat/>
    <w:rsid w:val="004553C6"/>
    <w:pPr>
      <w:ind w:left="720"/>
      <w:contextualSpacing/>
    </w:pPr>
    <w:rPr>
      <w:rFonts w:eastAsiaTheme="minorEastAsia"/>
      <w:lang w:val="it-IT"/>
    </w:rPr>
  </w:style>
  <w:style w:type="character" w:customStyle="1" w:styleId="docsum-authors">
    <w:name w:val="docsum-authors"/>
    <w:basedOn w:val="Carpredefinitoparagrafo"/>
    <w:rsid w:val="004553C6"/>
  </w:style>
  <w:style w:type="character" w:customStyle="1" w:styleId="docsum-journal-citation">
    <w:name w:val="docsum-journal-citation"/>
    <w:basedOn w:val="Carpredefinitoparagrafo"/>
    <w:rsid w:val="004553C6"/>
  </w:style>
  <w:style w:type="paragraph" w:customStyle="1" w:styleId="EndNoteBibliographyTitle">
    <w:name w:val="EndNote Bibliography Title"/>
    <w:basedOn w:val="Normale"/>
    <w:link w:val="EndNoteBibliographyTitleChar"/>
    <w:rsid w:val="003166F3"/>
    <w:pPr>
      <w:jc w:val="center"/>
    </w:pPr>
  </w:style>
  <w:style w:type="character" w:customStyle="1" w:styleId="EndNoteBibliographyTitleChar">
    <w:name w:val="EndNote Bibliography Title Char"/>
    <w:basedOn w:val="Carpredefinitoparagrafo"/>
    <w:link w:val="EndNoteBibliographyTitle"/>
    <w:rsid w:val="003166F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e"/>
    <w:link w:val="EndNoteBibliographyChar"/>
    <w:rsid w:val="003166F3"/>
  </w:style>
  <w:style w:type="character" w:customStyle="1" w:styleId="EndNoteBibliographyChar">
    <w:name w:val="EndNote Bibliography Char"/>
    <w:basedOn w:val="Carpredefinitoparagrafo"/>
    <w:link w:val="EndNoteBibliography"/>
    <w:rsid w:val="003166F3"/>
    <w:rPr>
      <w:rFonts w:ascii="Calibri" w:hAnsi="Calibri" w:cs="Calibri"/>
      <w:lang w:val="en-US"/>
    </w:rPr>
  </w:style>
  <w:style w:type="paragraph" w:styleId="Sottotitolo">
    <w:name w:val="Subtitle"/>
    <w:basedOn w:val="Normale"/>
    <w:next w:val="Normale"/>
    <w:rsid w:val="003902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j/rb0e8KuCd6/ZAvOP3HvJyWRQ==">AMUW2mVT6Gn9hWBjnE5mzf9tORVLqxWSg1Nxb7ghA8Dh/SyqRpDVvSRIKZa/1lAlPpPkiXkpZx50xJKnV4tOQBT5fVZ9YGbR1VV83nIo4nYkSwH+tTbYaxRGsinBemvtcSkOPV6AUuAQ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Mozzetta</dc:creator>
  <cp:lastModifiedBy>Utente</cp:lastModifiedBy>
  <cp:revision>3</cp:revision>
  <dcterms:created xsi:type="dcterms:W3CDTF">2023-04-19T11:27:00Z</dcterms:created>
  <dcterms:modified xsi:type="dcterms:W3CDTF">2023-05-19T14:18:00Z</dcterms:modified>
</cp:coreProperties>
</file>