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7835" w14:textId="77777777" w:rsidR="00234E20" w:rsidRPr="00234E20" w:rsidRDefault="00234E20" w:rsidP="00234E20">
      <w:pPr>
        <w:jc w:val="center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 w:rsidRPr="00234E20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DOTTORATO DI RICERCA IN BIOLOGIA CELLULARE E DELLO SVILUPPO</w:t>
      </w:r>
    </w:p>
    <w:p w14:paraId="16F92F2C" w14:textId="77777777" w:rsidR="00234E20" w:rsidRPr="00234E20" w:rsidRDefault="00234E20" w:rsidP="00234E20">
      <w:pPr>
        <w:jc w:val="center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 w:rsidRPr="00234E20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39 CYCLE</w:t>
      </w:r>
    </w:p>
    <w:p w14:paraId="28AD2688" w14:textId="77777777" w:rsidR="00234E20" w:rsidRDefault="00234E20" w:rsidP="00234E20">
      <w:pPr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14:paraId="70935B03" w14:textId="4AE40553" w:rsidR="00234E20" w:rsidRPr="00234E20" w:rsidRDefault="00234E20" w:rsidP="00234E2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Project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proposal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for a Sapienza PhD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scholarship</w:t>
      </w:r>
      <w:proofErr w:type="spellEnd"/>
    </w:p>
    <w:p w14:paraId="601777FD" w14:textId="15892F30" w:rsidR="00234E20" w:rsidRDefault="00234E20" w:rsidP="00234E2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Main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research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line</w:t>
      </w:r>
    </w:p>
    <w:p w14:paraId="5C0B08A2" w14:textId="77777777" w:rsidR="00234E20" w:rsidRPr="00234E20" w:rsidRDefault="00234E20" w:rsidP="00234E2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52696D6" w14:textId="089E3A10" w:rsidR="00A230AD" w:rsidRPr="00A230AD" w:rsidRDefault="00A230AD" w:rsidP="00A230AD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A230AD">
        <w:rPr>
          <w:rFonts w:ascii="Arial" w:hAnsi="Arial" w:cs="Arial"/>
          <w:b/>
          <w:bCs/>
          <w:color w:val="000000"/>
          <w:sz w:val="23"/>
          <w:szCs w:val="23"/>
        </w:rPr>
        <w:t xml:space="preserve">Title of the </w:t>
      </w:r>
      <w:proofErr w:type="spellStart"/>
      <w:r w:rsidRPr="00A230AD">
        <w:rPr>
          <w:rFonts w:ascii="Arial" w:hAnsi="Arial" w:cs="Arial"/>
          <w:b/>
          <w:bCs/>
          <w:color w:val="000000"/>
          <w:sz w:val="23"/>
          <w:szCs w:val="23"/>
        </w:rPr>
        <w:t>research</w:t>
      </w:r>
      <w:proofErr w:type="spellEnd"/>
      <w:r w:rsidRPr="00A230AD"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  <w:proofErr w:type="spellStart"/>
      <w:r w:rsidRPr="00A230AD">
        <w:rPr>
          <w:rFonts w:ascii="Arial" w:hAnsi="Arial" w:cs="Arial"/>
          <w:b/>
          <w:bCs/>
          <w:color w:val="000000"/>
          <w:sz w:val="23"/>
          <w:szCs w:val="23"/>
        </w:rPr>
        <w:t>Investigating</w:t>
      </w:r>
      <w:proofErr w:type="spellEnd"/>
      <w:r w:rsidRPr="00A230AD">
        <w:rPr>
          <w:rFonts w:ascii="Arial" w:hAnsi="Arial" w:cs="Arial"/>
          <w:b/>
          <w:bCs/>
          <w:color w:val="000000"/>
          <w:sz w:val="23"/>
          <w:szCs w:val="23"/>
        </w:rPr>
        <w:t xml:space="preserve"> the </w:t>
      </w:r>
      <w:proofErr w:type="spellStart"/>
      <w:r w:rsidRPr="00A230AD">
        <w:rPr>
          <w:rFonts w:ascii="Arial" w:hAnsi="Arial" w:cs="Arial"/>
          <w:b/>
          <w:bCs/>
          <w:color w:val="000000"/>
          <w:sz w:val="23"/>
          <w:szCs w:val="23"/>
        </w:rPr>
        <w:t>role</w:t>
      </w:r>
      <w:proofErr w:type="spellEnd"/>
      <w:r w:rsidRPr="00A230AD">
        <w:rPr>
          <w:rFonts w:ascii="Arial" w:hAnsi="Arial" w:cs="Arial"/>
          <w:b/>
          <w:bCs/>
          <w:color w:val="000000"/>
          <w:sz w:val="23"/>
          <w:szCs w:val="23"/>
        </w:rPr>
        <w:t xml:space="preserve"> of T </w:t>
      </w:r>
      <w:proofErr w:type="spellStart"/>
      <w:r w:rsidRPr="00A230AD">
        <w:rPr>
          <w:rFonts w:ascii="Arial" w:hAnsi="Arial" w:cs="Arial"/>
          <w:b/>
          <w:bCs/>
          <w:color w:val="000000"/>
          <w:sz w:val="23"/>
          <w:szCs w:val="23"/>
        </w:rPr>
        <w:t>lymphocytes</w:t>
      </w:r>
      <w:proofErr w:type="spellEnd"/>
      <w:r w:rsidRPr="00A230AD">
        <w:rPr>
          <w:rFonts w:ascii="Arial" w:hAnsi="Arial" w:cs="Arial"/>
          <w:b/>
          <w:bCs/>
          <w:color w:val="000000"/>
          <w:sz w:val="23"/>
          <w:szCs w:val="23"/>
        </w:rPr>
        <w:t xml:space="preserve"> and </w:t>
      </w:r>
      <w:proofErr w:type="spellStart"/>
      <w:r w:rsidRPr="00A230AD">
        <w:rPr>
          <w:rFonts w:ascii="Arial" w:hAnsi="Arial" w:cs="Arial"/>
          <w:b/>
          <w:bCs/>
          <w:color w:val="000000"/>
          <w:sz w:val="23"/>
          <w:szCs w:val="23"/>
        </w:rPr>
        <w:t>their</w:t>
      </w:r>
      <w:proofErr w:type="spellEnd"/>
      <w:r w:rsidRPr="00A230AD">
        <w:rPr>
          <w:rFonts w:ascii="Arial" w:hAnsi="Arial" w:cs="Arial"/>
          <w:b/>
          <w:bCs/>
          <w:color w:val="000000"/>
          <w:sz w:val="23"/>
          <w:szCs w:val="23"/>
        </w:rPr>
        <w:t xml:space="preserve"> HLA-B27-mediated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b/>
          <w:bCs/>
          <w:color w:val="000000"/>
          <w:sz w:val="23"/>
          <w:szCs w:val="23"/>
        </w:rPr>
        <w:t>crosstalk</w:t>
      </w:r>
      <w:proofErr w:type="spellEnd"/>
      <w:r w:rsidRPr="00A230AD">
        <w:rPr>
          <w:rFonts w:ascii="Arial" w:hAnsi="Arial" w:cs="Arial"/>
          <w:b/>
          <w:bCs/>
          <w:color w:val="000000"/>
          <w:sz w:val="23"/>
          <w:szCs w:val="23"/>
        </w:rPr>
        <w:t xml:space="preserve"> with </w:t>
      </w:r>
      <w:proofErr w:type="spellStart"/>
      <w:r w:rsidRPr="00A230AD">
        <w:rPr>
          <w:rFonts w:ascii="Arial" w:hAnsi="Arial" w:cs="Arial"/>
          <w:b/>
          <w:bCs/>
          <w:color w:val="000000"/>
          <w:sz w:val="23"/>
          <w:szCs w:val="23"/>
        </w:rPr>
        <w:t>chondrocytes</w:t>
      </w:r>
      <w:proofErr w:type="spellEnd"/>
      <w:r w:rsidRPr="00A230AD">
        <w:rPr>
          <w:rFonts w:ascii="Arial" w:hAnsi="Arial" w:cs="Arial"/>
          <w:b/>
          <w:bCs/>
          <w:color w:val="000000"/>
          <w:sz w:val="23"/>
          <w:szCs w:val="23"/>
        </w:rPr>
        <w:t xml:space="preserve"> in autoimmune </w:t>
      </w:r>
      <w:proofErr w:type="spellStart"/>
      <w:r w:rsidRPr="00A230AD">
        <w:rPr>
          <w:rFonts w:ascii="Arial" w:hAnsi="Arial" w:cs="Arial"/>
          <w:b/>
          <w:bCs/>
          <w:color w:val="000000"/>
          <w:sz w:val="23"/>
          <w:szCs w:val="23"/>
        </w:rPr>
        <w:t>Spondyloarthritis</w:t>
      </w:r>
      <w:proofErr w:type="spellEnd"/>
    </w:p>
    <w:p w14:paraId="79125745" w14:textId="0632226E" w:rsidR="00A230AD" w:rsidRDefault="00A230AD" w:rsidP="00A230AD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A230AD">
        <w:rPr>
          <w:rFonts w:ascii="Arial" w:hAnsi="Arial" w:cs="Arial"/>
          <w:b/>
          <w:bCs/>
          <w:color w:val="000000"/>
          <w:sz w:val="23"/>
          <w:szCs w:val="23"/>
        </w:rPr>
        <w:t>Supervisor: Maria Teresa Fiorillo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(</w:t>
      </w:r>
      <w:hyperlink r:id="rId5" w:history="1">
        <w:r w:rsidRPr="00E72704">
          <w:rPr>
            <w:rStyle w:val="Collegamentoipertestuale"/>
            <w:rFonts w:ascii="Arial" w:hAnsi="Arial" w:cs="Arial"/>
            <w:b/>
            <w:bCs/>
            <w:sz w:val="23"/>
            <w:szCs w:val="23"/>
          </w:rPr>
          <w:t>mariateresa.fiorillo@uniroma1.it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14:paraId="0289F778" w14:textId="5ACDCD86" w:rsidR="00234E20" w:rsidRDefault="00A230AD" w:rsidP="00A230AD">
      <w:pPr>
        <w:rPr>
          <w:rFonts w:ascii="Arial" w:hAnsi="Arial" w:cs="Arial"/>
          <w:b/>
          <w:bCs/>
          <w:color w:val="000000"/>
          <w:sz w:val="23"/>
          <w:szCs w:val="23"/>
        </w:rPr>
      </w:pPr>
      <w:hyperlink r:id="rId6" w:history="1">
        <w:r w:rsidRPr="00E72704">
          <w:rPr>
            <w:rStyle w:val="Collegamentoipertestuale"/>
            <w:rFonts w:ascii="Arial" w:hAnsi="Arial" w:cs="Arial"/>
            <w:b/>
            <w:bCs/>
            <w:sz w:val="23"/>
            <w:szCs w:val="23"/>
          </w:rPr>
          <w:t>https://corsidilaurea.uniroma1.it/it/users</w:t>
        </w:r>
      </w:hyperlink>
    </w:p>
    <w:p w14:paraId="6FA97D0F" w14:textId="77777777" w:rsidR="00A230AD" w:rsidRPr="00234E20" w:rsidRDefault="00A230AD" w:rsidP="00A230A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21A1589" w14:textId="58EA1B99" w:rsidR="00234E20" w:rsidRPr="00234E20" w:rsidRDefault="00234E20" w:rsidP="00234E20">
      <w:pPr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Summary</w:t>
      </w:r>
      <w:proofErr w:type="spellEnd"/>
    </w:p>
    <w:p w14:paraId="60171061" w14:textId="4B52CAF3" w:rsidR="00234E20" w:rsidRDefault="00A230AD" w:rsidP="00A230AD">
      <w:pPr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Ankylosing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Spondylitis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(AS)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prototype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Spondyloarthritis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SpA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), a cluster of autoimmune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rheumatic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multifactorial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disorders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whose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pathogenetic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molecular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mechanisms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are far to be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fully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elucidated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. The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ascertained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contribution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of Human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Leucocyte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Antigen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(HLA)-B*27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together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with the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association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several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genes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identified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by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Genome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Wide Association Studies (GWAS)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suggest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an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altered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presentation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pathway of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peptides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to CD8+ T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lymphocytes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by the HLA-B*27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molecules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. 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plausible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scenario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would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envisage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gut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site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the first source of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inflammation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probably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due to 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dysbiosis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frequently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found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in AS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patients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, from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which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pathogenic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/cross-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reactive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lymphocytes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reach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other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sites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such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axial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skeleton and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sacroiliac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joints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contributing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to the spread of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inflammation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According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to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this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concept,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it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would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be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crucial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to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characterize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the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migration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phenotype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of putative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pathogenic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lymphocytes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and,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hopefully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, to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identify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within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these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cells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main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subset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strictly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correlated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to a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specific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clinical picture. In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parallel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it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would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be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pivotal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to investigate the capability of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 xml:space="preserve">T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cells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to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mount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response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towards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suboptimal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peptidome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presented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by HLA-B*27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alleles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that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could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include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atypical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peptides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, dual non-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contiguous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peptides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or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truncated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version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classical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peptides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potentially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generated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in the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inflamed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context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. The HLA-B*27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peptidome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analysis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both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>the AS-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associated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allele (B*2705) and the non-AS-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associated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allele (B*2709) and the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consequent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effects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on CD8+ T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cells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will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be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extended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to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chondrocytes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stably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expressing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B*27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alleles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, to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deepen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 xml:space="preserve">the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antigen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presentation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mechanism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A230AD">
        <w:rPr>
          <w:rFonts w:ascii="Arial" w:hAnsi="Arial" w:cs="Arial"/>
          <w:color w:val="000000"/>
          <w:sz w:val="23"/>
          <w:szCs w:val="23"/>
        </w:rPr>
        <w:t>in a</w:t>
      </w:r>
      <w:proofErr w:type="gram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tissue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context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relevant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for the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disease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. Overall,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this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study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could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be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seminal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to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clarify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the T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cell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involvement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especially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CD8+ T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lymphocytes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in the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pathogenesis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of AS/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SpA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their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HLA-B*27-mediated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crosstalk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with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cartilage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chondrocytes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. In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addition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, the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identification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of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specific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HLA-B27-restricted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autoantigens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presented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by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chondrocytes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could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be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seminal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for a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personalized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and more accurate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therapeutic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strategy.</w:t>
      </w:r>
    </w:p>
    <w:p w14:paraId="483C9B86" w14:textId="77777777" w:rsidR="00A230AD" w:rsidRPr="00234E20" w:rsidRDefault="00A230AD" w:rsidP="00A230AD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7444ECAA" w14:textId="6FDC449C" w:rsidR="00234E20" w:rsidRPr="00234E20" w:rsidRDefault="00234E20" w:rsidP="00234E20">
      <w:pPr>
        <w:rPr>
          <w:rFonts w:ascii="Arial" w:hAnsi="Arial" w:cs="Arial"/>
          <w:color w:val="000000"/>
          <w:sz w:val="23"/>
          <w:szCs w:val="23"/>
        </w:rPr>
      </w:pP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References</w:t>
      </w:r>
      <w:proofErr w:type="spellEnd"/>
      <w:r w:rsidRPr="00234E20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28B10A0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>1. Tedeschi V, et al. (2022) Int J Mol Sci 23:3374</w:t>
      </w:r>
    </w:p>
    <w:p w14:paraId="0C09C696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2. Fiorillo MT, et al. (2000) J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Clin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Invest 106:47-53</w:t>
      </w:r>
    </w:p>
    <w:p w14:paraId="6E1410A7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lastRenderedPageBreak/>
        <w:t xml:space="preserve">3. Fiorillo MT et al. (2005) J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Biol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Chem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280:2962-2971</w:t>
      </w:r>
    </w:p>
    <w:p w14:paraId="12CFBE4C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4. Sorrentino R, et al. (2014) Mol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Immunol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57:22-7</w:t>
      </w:r>
    </w:p>
    <w:p w14:paraId="46C4252D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5. Tedeschi V et al. (2016) Mol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Med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>. 22:215-223</w:t>
      </w:r>
    </w:p>
    <w:p w14:paraId="6DD318B2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6. Tedeschi V et al. (2019)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Cells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 w:rsidRPr="00DD3361">
        <w:rPr>
          <w:rFonts w:ascii="Arial" w:hAnsi="Arial" w:cs="Arial"/>
          <w:color w:val="000000"/>
          <w:sz w:val="23"/>
          <w:szCs w:val="23"/>
        </w:rPr>
        <w:t>8:E</w:t>
      </w:r>
      <w:proofErr w:type="gramEnd"/>
      <w:r w:rsidRPr="00DD3361">
        <w:rPr>
          <w:rFonts w:ascii="Arial" w:hAnsi="Arial" w:cs="Arial"/>
          <w:color w:val="000000"/>
          <w:sz w:val="23"/>
          <w:szCs w:val="23"/>
        </w:rPr>
        <w:t>572</w:t>
      </w:r>
    </w:p>
    <w:p w14:paraId="56674D56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>7. Yair-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Sabag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et al. (2018)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Proteomics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 w:rsidRPr="00DD3361">
        <w:rPr>
          <w:rFonts w:ascii="Arial" w:hAnsi="Arial" w:cs="Arial"/>
          <w:color w:val="000000"/>
          <w:sz w:val="23"/>
          <w:szCs w:val="23"/>
        </w:rPr>
        <w:t>18:e</w:t>
      </w:r>
      <w:proofErr w:type="gramEnd"/>
      <w:r w:rsidRPr="00DD3361">
        <w:rPr>
          <w:rFonts w:ascii="Arial" w:hAnsi="Arial" w:cs="Arial"/>
          <w:color w:val="000000"/>
          <w:sz w:val="23"/>
          <w:szCs w:val="23"/>
        </w:rPr>
        <w:t>1700249</w:t>
      </w:r>
    </w:p>
    <w:p w14:paraId="540ED301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>8. Tedeschi V, et al. (2020) Int J Mol Sci 21:9608</w:t>
      </w:r>
    </w:p>
    <w:p w14:paraId="57C1A361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>9. Xiao Z, et al. (2017) Sci Rep 7:5072</w:t>
      </w:r>
    </w:p>
    <w:p w14:paraId="3AA5AE29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10.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Dougados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Baeten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D. (2011) Lancet 377:2127-37</w:t>
      </w:r>
    </w:p>
    <w:p w14:paraId="01172048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11. Mauro D, et al. (2021)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Nat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Rev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Rheumatol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17:387-404</w:t>
      </w:r>
    </w:p>
    <w:p w14:paraId="6F3E2546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12. Terenzi R, et al. (2018)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Clin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Exp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Rheumatol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36: 1-14.</w:t>
      </w:r>
    </w:p>
    <w:p w14:paraId="3E28D455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13.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Sieper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J,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Poddubnyy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D. (2017) Lancet 390:73-84</w:t>
      </w:r>
    </w:p>
    <w:p w14:paraId="3F66A775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14. Kuhne M, et al. (2009)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Arthritis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Rheum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>. 60:1635-46</w:t>
      </w:r>
    </w:p>
    <w:p w14:paraId="60330087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15.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Ranganathan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V, et al. (2017)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Nat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Rev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Rheumatol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13:359-67</w:t>
      </w:r>
    </w:p>
    <w:p w14:paraId="1FA830C2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>16. Simone D, et al. (2021) Front Genet 12:703242</w:t>
      </w:r>
    </w:p>
    <w:p w14:paraId="126343AB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17.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Xiong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Y, et al. (2022) Front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Immunol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13:996103</w:t>
      </w:r>
    </w:p>
    <w:p w14:paraId="0527ABA6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18. Evans DM, et al. (2011) Nature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genetics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43:761-67</w:t>
      </w:r>
    </w:p>
    <w:p w14:paraId="5DF0BF71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19. Cortes A, et al. (2013)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Nat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Genet 45:730-8</w:t>
      </w:r>
    </w:p>
    <w:p w14:paraId="77ED3E78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20. Vitulano C, et al. (2017)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Clin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Exp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Immunol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190:281-290</w:t>
      </w:r>
    </w:p>
    <w:p w14:paraId="63827B6D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21. Vecellio M, et al. (2019) Front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Immunol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9:3132</w:t>
      </w:r>
    </w:p>
    <w:p w14:paraId="1FC5EBED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>22. Yang X, et al. (2022) Nature 612:771-777.</w:t>
      </w:r>
    </w:p>
    <w:p w14:paraId="06F8A916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23. Fiorillo MT, Sorrentino R. (2009)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Adv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Exp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Med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Biol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649:255-262</w:t>
      </w:r>
    </w:p>
    <w:p w14:paraId="0C7B5722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24. Mauro D, et al. (2021)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Semin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Immunol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15:101607</w:t>
      </w:r>
    </w:p>
    <w:p w14:paraId="72CA7848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25.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Fessler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J, et al. (2016) Ann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Rheum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Dis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75:748-754</w:t>
      </w:r>
    </w:p>
    <w:p w14:paraId="5C75668E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26. Tamayo M, et al. (2010)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Mutat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Res 683:68-73</w:t>
      </w:r>
    </w:p>
    <w:p w14:paraId="1EEC2DEE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27. Tamayo M, et al. (2014)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Mutat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Res 765:1-5</w:t>
      </w:r>
    </w:p>
    <w:p w14:paraId="65AABCDB" w14:textId="77777777" w:rsidR="00DD3361" w:rsidRPr="00DD3361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28. Li Y, et al. (2016)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Immunity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45:903-916</w:t>
      </w:r>
    </w:p>
    <w:p w14:paraId="07B735FF" w14:textId="621BFCA4" w:rsidR="00234E20" w:rsidRDefault="00DD3361" w:rsidP="00DD3361">
      <w:pPr>
        <w:rPr>
          <w:rFonts w:ascii="Arial" w:hAnsi="Arial" w:cs="Arial"/>
          <w:color w:val="000000"/>
          <w:sz w:val="23"/>
          <w:szCs w:val="23"/>
        </w:rPr>
      </w:pPr>
      <w:r w:rsidRPr="00DD3361">
        <w:rPr>
          <w:rFonts w:ascii="Arial" w:hAnsi="Arial" w:cs="Arial"/>
          <w:color w:val="000000"/>
          <w:sz w:val="23"/>
          <w:szCs w:val="23"/>
        </w:rPr>
        <w:t xml:space="preserve">29.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Heba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AC, et al. (2021) J </w:t>
      </w:r>
      <w:proofErr w:type="spellStart"/>
      <w:r w:rsidRPr="00DD3361">
        <w:rPr>
          <w:rFonts w:ascii="Arial" w:hAnsi="Arial" w:cs="Arial"/>
          <w:color w:val="000000"/>
          <w:sz w:val="23"/>
          <w:szCs w:val="23"/>
        </w:rPr>
        <w:t>Autoimmun</w:t>
      </w:r>
      <w:proofErr w:type="spellEnd"/>
      <w:r w:rsidRPr="00DD3361">
        <w:rPr>
          <w:rFonts w:ascii="Arial" w:hAnsi="Arial" w:cs="Arial"/>
          <w:color w:val="000000"/>
          <w:sz w:val="23"/>
          <w:szCs w:val="23"/>
        </w:rPr>
        <w:t xml:space="preserve"> 123:102699</w:t>
      </w:r>
    </w:p>
    <w:p w14:paraId="3DCB0E4F" w14:textId="77777777" w:rsidR="00DD3361" w:rsidRPr="00234E20" w:rsidRDefault="00DD3361" w:rsidP="00DD3361">
      <w:pPr>
        <w:rPr>
          <w:rFonts w:ascii="Arial" w:hAnsi="Arial" w:cs="Arial"/>
          <w:color w:val="000000"/>
          <w:sz w:val="23"/>
          <w:szCs w:val="23"/>
        </w:rPr>
      </w:pPr>
    </w:p>
    <w:p w14:paraId="76882BA4" w14:textId="77777777" w:rsidR="00234E20" w:rsidRDefault="00234E20" w:rsidP="00234E20">
      <w:pPr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Pertinent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Publications of the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proponent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 xml:space="preserve"> (last 5 </w:t>
      </w:r>
      <w:proofErr w:type="spellStart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years</w:t>
      </w:r>
      <w:proofErr w:type="spellEnd"/>
      <w:r w:rsidRPr="00234E20"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14:paraId="1181DDB1" w14:textId="7191DD31" w:rsidR="00A230AD" w:rsidRPr="00A230AD" w:rsidRDefault="00A230AD" w:rsidP="00A230AD">
      <w:pPr>
        <w:rPr>
          <w:rFonts w:ascii="Arial" w:hAnsi="Arial" w:cs="Arial"/>
          <w:color w:val="000000"/>
          <w:sz w:val="23"/>
          <w:szCs w:val="23"/>
        </w:rPr>
      </w:pPr>
      <w:r w:rsidRPr="00A230AD">
        <w:rPr>
          <w:rFonts w:ascii="Arial" w:hAnsi="Arial" w:cs="Arial"/>
          <w:color w:val="000000"/>
          <w:sz w:val="23"/>
          <w:szCs w:val="23"/>
        </w:rPr>
        <w:t>Paroli M, Caccavale R, Fiorillo MT, Spadea L, Gumina S, Candela V, Paroli MP. 2022. The Double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 xml:space="preserve">Game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Played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by Th17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Cells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Infection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: Host Defense and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Immunopathology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Pathogens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. 11:1547.</w:t>
      </w:r>
    </w:p>
    <w:p w14:paraId="2877FBDB" w14:textId="39F6DF14" w:rsidR="00A230AD" w:rsidRPr="00A230AD" w:rsidRDefault="00A230AD" w:rsidP="00A230AD">
      <w:pPr>
        <w:rPr>
          <w:rFonts w:ascii="Arial" w:hAnsi="Arial" w:cs="Arial"/>
          <w:color w:val="000000"/>
          <w:sz w:val="23"/>
          <w:szCs w:val="23"/>
        </w:rPr>
      </w:pP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lastRenderedPageBreak/>
        <w:t>Mattorre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B, Tedeschi V,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Paldino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G, Fiorillo MT, Paladini F, Sorrentino R. 2022. The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emerging</w:t>
      </w:r>
      <w:proofErr w:type="spellEnd"/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multifunctional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roles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of ERAP1, ERAP2 and IRAP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between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antigen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processing and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reninangiotensin</w:t>
      </w:r>
      <w:proofErr w:type="spellEnd"/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 xml:space="preserve">system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modulation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. Front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Immunol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. 13:1002375.</w:t>
      </w:r>
    </w:p>
    <w:p w14:paraId="7A3F2681" w14:textId="6B56FF1B" w:rsidR="00A230AD" w:rsidRPr="00A230AD" w:rsidRDefault="00A230AD" w:rsidP="00A230AD">
      <w:pPr>
        <w:rPr>
          <w:rFonts w:ascii="Arial" w:hAnsi="Arial" w:cs="Arial"/>
          <w:color w:val="000000"/>
          <w:sz w:val="23"/>
          <w:szCs w:val="23"/>
        </w:rPr>
      </w:pP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Amormino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C, Tedeschi V,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Paldino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G, Arcieri S, Fiorillo MT,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Paiardini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Tuosto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L,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Kunkl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M. 2022.SARS-CoV-2 Spike Does Not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Possess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Intrinsic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Superantigen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-like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Inflammatory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Activity.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Cells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.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>11:2526.</w:t>
      </w:r>
    </w:p>
    <w:p w14:paraId="54B2BCFC" w14:textId="33F16364" w:rsidR="00A230AD" w:rsidRPr="00A230AD" w:rsidRDefault="00A230AD" w:rsidP="00A230AD">
      <w:pPr>
        <w:rPr>
          <w:rFonts w:ascii="Arial" w:hAnsi="Arial" w:cs="Arial"/>
          <w:color w:val="000000"/>
          <w:sz w:val="23"/>
          <w:szCs w:val="23"/>
        </w:rPr>
      </w:pPr>
      <w:r w:rsidRPr="00A230AD">
        <w:rPr>
          <w:rFonts w:ascii="Arial" w:hAnsi="Arial" w:cs="Arial"/>
          <w:color w:val="000000"/>
          <w:sz w:val="23"/>
          <w:szCs w:val="23"/>
        </w:rPr>
        <w:t xml:space="preserve">Tedeschi V,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Paldino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G,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Kunkl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M, Paroli M, Sorrentino R,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Tuosto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L, Fiorillo MT. 2022. CD8+ T Cell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Senescence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Lights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Shadows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Viral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Infections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, Autoimmune Disorders and Cancer. Int J Mol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>Sci. 23:3374.</w:t>
      </w:r>
    </w:p>
    <w:p w14:paraId="3C8BE2FF" w14:textId="7110621C" w:rsidR="00A230AD" w:rsidRPr="00A230AD" w:rsidRDefault="00A230AD" w:rsidP="00A230AD">
      <w:pPr>
        <w:rPr>
          <w:rFonts w:ascii="Arial" w:hAnsi="Arial" w:cs="Arial"/>
          <w:color w:val="000000"/>
          <w:sz w:val="23"/>
          <w:szCs w:val="23"/>
        </w:rPr>
      </w:pP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Kunkl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Amormino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C, Tedeschi V, Fiorillo MT,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Tuosto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L. 2022.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Astrocytes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Inflammatory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Helper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Cells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: A Dangerous Liaison in Multiple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Sclerosis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. Front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Immunol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. 13:824411.</w:t>
      </w:r>
    </w:p>
    <w:p w14:paraId="7B4503D2" w14:textId="78F7BC50" w:rsidR="00A230AD" w:rsidRPr="00A230AD" w:rsidRDefault="00A230AD" w:rsidP="00A230AD">
      <w:pPr>
        <w:rPr>
          <w:rFonts w:ascii="Arial" w:hAnsi="Arial" w:cs="Arial"/>
          <w:color w:val="000000"/>
          <w:sz w:val="23"/>
          <w:szCs w:val="23"/>
        </w:rPr>
      </w:pP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Kunkl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Amormino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C,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Caristi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S, Tedeschi V, Fiorillo MT, Levy R,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Popugailo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Kaempfer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R,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Tuosto</w:t>
      </w:r>
      <w:proofErr w:type="spellEnd"/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 xml:space="preserve">L. 2021. Binding of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Staphylococcal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Enterotoxin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B (SEB) to B7 Receptors Triggers TCR- and CD28-</w:t>
      </w:r>
    </w:p>
    <w:p w14:paraId="0DEAE19C" w14:textId="4BABB72C" w:rsidR="00A230AD" w:rsidRPr="00A230AD" w:rsidRDefault="00A230AD" w:rsidP="00A230AD">
      <w:pPr>
        <w:rPr>
          <w:rFonts w:ascii="Arial" w:hAnsi="Arial" w:cs="Arial"/>
          <w:color w:val="000000"/>
          <w:sz w:val="23"/>
          <w:szCs w:val="23"/>
        </w:rPr>
      </w:pP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Mediated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Inflammatory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Signals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in the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Absence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of MHC Class II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Molecules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. Front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Immunol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.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>12:723689.</w:t>
      </w:r>
    </w:p>
    <w:p w14:paraId="29216ECB" w14:textId="4F91C804" w:rsidR="00A230AD" w:rsidRPr="00A230AD" w:rsidRDefault="00A230AD" w:rsidP="00A230AD">
      <w:pPr>
        <w:rPr>
          <w:rFonts w:ascii="Arial" w:hAnsi="Arial" w:cs="Arial"/>
          <w:color w:val="000000"/>
          <w:sz w:val="23"/>
          <w:szCs w:val="23"/>
        </w:rPr>
      </w:pPr>
      <w:r w:rsidRPr="00A230AD">
        <w:rPr>
          <w:rFonts w:ascii="Arial" w:hAnsi="Arial" w:cs="Arial"/>
          <w:color w:val="000000"/>
          <w:sz w:val="23"/>
          <w:szCs w:val="23"/>
        </w:rPr>
        <w:t xml:space="preserve">Tedeschi V,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Paldino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G, Paladini F,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Mattorre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B,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Tuosto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L, Sorrentino R, Fiorillo MT. 2020. The Impact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>of the 'Mis-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Peptidome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' on HLA Class I-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Mediated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Diseases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Contribution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of ERAP1 and ERAP2 and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Effects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on the Immune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Response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. Int J Mol Sci. 21:9608.</w:t>
      </w:r>
    </w:p>
    <w:p w14:paraId="6C983453" w14:textId="4152F099" w:rsidR="00A230AD" w:rsidRPr="00A230AD" w:rsidRDefault="00A230AD" w:rsidP="00A230AD">
      <w:pPr>
        <w:rPr>
          <w:rFonts w:ascii="Arial" w:hAnsi="Arial" w:cs="Arial"/>
          <w:color w:val="000000"/>
          <w:sz w:val="23"/>
          <w:szCs w:val="23"/>
        </w:rPr>
      </w:pPr>
      <w:r w:rsidRPr="00A230AD">
        <w:rPr>
          <w:rFonts w:ascii="Arial" w:hAnsi="Arial" w:cs="Arial"/>
          <w:color w:val="000000"/>
          <w:sz w:val="23"/>
          <w:szCs w:val="23"/>
        </w:rPr>
        <w:t xml:space="preserve">Paladini F, Fiorillo MT, Tedeschi V,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Mattorre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B, Sorrentino R. 2020. The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multifaceted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nature of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aminopeptidases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ERAP1, ERAP2 and LNPEP: from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evolution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to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disease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. Front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Immunol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. 11:1576.</w:t>
      </w:r>
    </w:p>
    <w:p w14:paraId="3BE0ED5C" w14:textId="0A1F6AF0" w:rsidR="00A230AD" w:rsidRPr="00A230AD" w:rsidRDefault="00A230AD" w:rsidP="00A230AD">
      <w:pPr>
        <w:rPr>
          <w:rFonts w:ascii="Arial" w:hAnsi="Arial" w:cs="Arial"/>
          <w:color w:val="000000"/>
          <w:sz w:val="23"/>
          <w:szCs w:val="23"/>
        </w:rPr>
      </w:pPr>
      <w:r w:rsidRPr="00A230AD">
        <w:rPr>
          <w:rFonts w:ascii="Arial" w:hAnsi="Arial" w:cs="Arial"/>
          <w:color w:val="000000"/>
          <w:sz w:val="23"/>
          <w:szCs w:val="23"/>
        </w:rPr>
        <w:t>Tedeschi V, Alba J, Paladini F, Paroli M, Cauli A, Mathieu A, Sorrentino R, D'Abramo M, Fiorillo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 xml:space="preserve">MT. 2019.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Unusual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Placement of an EBV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Epitope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into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the Groove of the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Ankylosing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Spondylitis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-Associated HLA-B27 Allele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Allows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CD8+ T Cell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Activation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Cells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 w:rsidRPr="00A230AD">
        <w:rPr>
          <w:rFonts w:ascii="Arial" w:hAnsi="Arial" w:cs="Arial"/>
          <w:color w:val="000000"/>
          <w:sz w:val="23"/>
          <w:szCs w:val="23"/>
        </w:rPr>
        <w:t>8:E</w:t>
      </w:r>
      <w:proofErr w:type="gramEnd"/>
      <w:r w:rsidRPr="00A230AD">
        <w:rPr>
          <w:rFonts w:ascii="Arial" w:hAnsi="Arial" w:cs="Arial"/>
          <w:color w:val="000000"/>
          <w:sz w:val="23"/>
          <w:szCs w:val="23"/>
        </w:rPr>
        <w:t>572.</w:t>
      </w:r>
    </w:p>
    <w:p w14:paraId="4DE523DF" w14:textId="70CDF27A" w:rsidR="00A230AD" w:rsidRPr="00A230AD" w:rsidRDefault="00A230AD" w:rsidP="00A230AD">
      <w:pPr>
        <w:rPr>
          <w:rFonts w:ascii="Arial" w:hAnsi="Arial" w:cs="Arial"/>
          <w:color w:val="000000"/>
          <w:sz w:val="23"/>
          <w:szCs w:val="23"/>
        </w:rPr>
      </w:pPr>
      <w:r w:rsidRPr="00A230AD">
        <w:rPr>
          <w:rFonts w:ascii="Arial" w:hAnsi="Arial" w:cs="Arial"/>
          <w:color w:val="000000"/>
          <w:sz w:val="23"/>
          <w:szCs w:val="23"/>
        </w:rPr>
        <w:t xml:space="preserve">Fiorillo MT,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Haroon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N, Ciccia F,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Breban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M. 2019.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Editorial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Ankylosing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Spondylitis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Related</w:t>
      </w:r>
      <w:proofErr w:type="spellEnd"/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>Immune-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Mediated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Disorders. Front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Immunol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. 10:1232.</w:t>
      </w:r>
    </w:p>
    <w:p w14:paraId="46C3D00A" w14:textId="68569243" w:rsidR="00A230AD" w:rsidRPr="00A230AD" w:rsidRDefault="00A230AD" w:rsidP="00A230AD">
      <w:pPr>
        <w:rPr>
          <w:rFonts w:ascii="Arial" w:hAnsi="Arial" w:cs="Arial"/>
          <w:color w:val="000000"/>
          <w:sz w:val="23"/>
          <w:szCs w:val="23"/>
        </w:rPr>
      </w:pPr>
      <w:r w:rsidRPr="00A230AD">
        <w:rPr>
          <w:rFonts w:ascii="Arial" w:hAnsi="Arial" w:cs="Arial"/>
          <w:color w:val="000000"/>
          <w:sz w:val="23"/>
          <w:szCs w:val="23"/>
        </w:rPr>
        <w:t>Paladini F, Fiorillo MT, Tedeschi V, D'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Otolo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V, Piga M, Cauli A, Mathieu A, Sorrentino R. 2019. The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 xml:space="preserve">rs75862629 minor allele in the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endoplasmic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reticulum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aminopeptidases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intergenic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region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affects</w:t>
      </w:r>
      <w:proofErr w:type="spellEnd"/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 xml:space="preserve">human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leucocyte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antigen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B27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expression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protects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from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ankylosing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spondylitis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in Sardinia.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Rheumatology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. 58:2315-2324.</w:t>
      </w:r>
    </w:p>
    <w:p w14:paraId="5F63E971" w14:textId="1DB418BA" w:rsidR="00A230AD" w:rsidRPr="00A230AD" w:rsidRDefault="00A230AD" w:rsidP="00A230AD">
      <w:pPr>
        <w:rPr>
          <w:rFonts w:ascii="Arial" w:hAnsi="Arial" w:cs="Arial"/>
          <w:color w:val="000000"/>
          <w:sz w:val="23"/>
          <w:szCs w:val="23"/>
        </w:rPr>
      </w:pPr>
      <w:r w:rsidRPr="00A230AD">
        <w:rPr>
          <w:rFonts w:ascii="Arial" w:hAnsi="Arial" w:cs="Arial"/>
          <w:color w:val="000000"/>
          <w:sz w:val="23"/>
          <w:szCs w:val="23"/>
        </w:rPr>
        <w:t xml:space="preserve">Paladini F, Fiorillo MT, Tedeschi V, Cauli A, Mathieu A, Sorrentino R. 2019.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Ankylosing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Spondylitis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: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 xml:space="preserve">A Trade Off of HLA-B27, ERAP, and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Pathogen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Interconnections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? Focus on Sardinia. Front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Immunol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.</w:t>
      </w:r>
    </w:p>
    <w:p w14:paraId="16FF6C18" w14:textId="77777777" w:rsidR="00A230AD" w:rsidRPr="00A230AD" w:rsidRDefault="00A230AD" w:rsidP="00A230AD">
      <w:pPr>
        <w:rPr>
          <w:rFonts w:ascii="Arial" w:hAnsi="Arial" w:cs="Arial"/>
          <w:color w:val="000000"/>
          <w:sz w:val="23"/>
          <w:szCs w:val="23"/>
        </w:rPr>
      </w:pPr>
      <w:r w:rsidRPr="00A230AD">
        <w:rPr>
          <w:rFonts w:ascii="Arial" w:hAnsi="Arial" w:cs="Arial"/>
          <w:color w:val="000000"/>
          <w:sz w:val="23"/>
          <w:szCs w:val="23"/>
        </w:rPr>
        <w:t>10:35.</w:t>
      </w:r>
    </w:p>
    <w:p w14:paraId="152B957E" w14:textId="20DA5967" w:rsidR="00DD3361" w:rsidRDefault="00A230AD" w:rsidP="00A230AD">
      <w:pPr>
        <w:rPr>
          <w:rFonts w:ascii="Arial" w:hAnsi="Arial" w:cs="Arial"/>
          <w:color w:val="000000"/>
          <w:sz w:val="23"/>
          <w:szCs w:val="23"/>
        </w:rPr>
      </w:pPr>
      <w:r w:rsidRPr="00A230AD">
        <w:rPr>
          <w:rFonts w:ascii="Arial" w:hAnsi="Arial" w:cs="Arial"/>
          <w:color w:val="000000"/>
          <w:sz w:val="23"/>
          <w:szCs w:val="23"/>
        </w:rPr>
        <w:t xml:space="preserve">Angioni MM, Piga M, Paladini F, Lai S, Erre GL, Floris A, Cauli A, Fiorillo MT,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Passiu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G, Carcassi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 xml:space="preserve">C, Sorrentino R, Mathieu A. 2018. AIF-1 gene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does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not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confer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susceptibility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to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Behçet's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disease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: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 xml:space="preserve">Analysis of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extended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haplotypes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Sardinian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population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. PLoS One. </w:t>
      </w:r>
      <w:proofErr w:type="gramStart"/>
      <w:r w:rsidRPr="00A230AD">
        <w:rPr>
          <w:rFonts w:ascii="Arial" w:hAnsi="Arial" w:cs="Arial"/>
          <w:color w:val="000000"/>
          <w:sz w:val="23"/>
          <w:szCs w:val="23"/>
        </w:rPr>
        <w:t>13:e</w:t>
      </w:r>
      <w:proofErr w:type="gramEnd"/>
      <w:r w:rsidRPr="00A230AD">
        <w:rPr>
          <w:rFonts w:ascii="Arial" w:hAnsi="Arial" w:cs="Arial"/>
          <w:color w:val="000000"/>
          <w:sz w:val="23"/>
          <w:szCs w:val="23"/>
        </w:rPr>
        <w:t>0204250.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C5556F3" w14:textId="4B44A596" w:rsidR="00A230AD" w:rsidRPr="00A230AD" w:rsidRDefault="00A230AD" w:rsidP="00A230AD">
      <w:pPr>
        <w:rPr>
          <w:rFonts w:ascii="Arial" w:hAnsi="Arial" w:cs="Arial"/>
          <w:color w:val="000000"/>
          <w:sz w:val="23"/>
          <w:szCs w:val="23"/>
        </w:rPr>
      </w:pPr>
      <w:r w:rsidRPr="00A230AD">
        <w:rPr>
          <w:rFonts w:ascii="Arial" w:hAnsi="Arial" w:cs="Arial"/>
          <w:color w:val="000000"/>
          <w:sz w:val="23"/>
          <w:szCs w:val="23"/>
        </w:rPr>
        <w:lastRenderedPageBreak/>
        <w:t xml:space="preserve">Cauli A,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Dessole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G, Piga M, Angioni MM, Pinna S, Floris A,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Congia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M, Mascia E, Paladini F, Tedeschi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 xml:space="preserve">V, Sorrentino R, Fiorillo MT, Mathieu A. 2018.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Expression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analysis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of HLA-E and NKG2A and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 xml:space="preserve">NKG2C receptors points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at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role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for Natural Killer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function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in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Ankylosing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Spondylitis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. RMD Open.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A230AD">
        <w:rPr>
          <w:rFonts w:ascii="Arial" w:hAnsi="Arial" w:cs="Arial"/>
          <w:color w:val="000000"/>
          <w:sz w:val="23"/>
          <w:szCs w:val="23"/>
        </w:rPr>
        <w:t>4:e</w:t>
      </w:r>
      <w:proofErr w:type="gramEnd"/>
      <w:r w:rsidRPr="00A230AD">
        <w:rPr>
          <w:rFonts w:ascii="Arial" w:hAnsi="Arial" w:cs="Arial"/>
          <w:color w:val="000000"/>
          <w:sz w:val="23"/>
          <w:szCs w:val="23"/>
        </w:rPr>
        <w:t>000597.</w:t>
      </w:r>
    </w:p>
    <w:p w14:paraId="4F495126" w14:textId="7779BA47" w:rsidR="00A230AD" w:rsidRPr="00A230AD" w:rsidRDefault="00A230AD" w:rsidP="00A230AD">
      <w:pPr>
        <w:rPr>
          <w:rFonts w:ascii="Arial" w:hAnsi="Arial" w:cs="Arial"/>
          <w:color w:val="000000"/>
          <w:sz w:val="23"/>
          <w:szCs w:val="23"/>
        </w:rPr>
      </w:pPr>
      <w:r w:rsidRPr="00A230AD">
        <w:rPr>
          <w:rFonts w:ascii="Arial" w:hAnsi="Arial" w:cs="Arial"/>
          <w:color w:val="000000"/>
          <w:sz w:val="23"/>
          <w:szCs w:val="23"/>
        </w:rPr>
        <w:t>Paladini F, Fiorillo MT, Vitulano C, Tedeschi V, Piga M, Cauli A, Mathieu A, Sorrentino R. 2018. An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allelic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variant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in the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intergenic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region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between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ERAP1 and ERAP2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correlates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with an inverse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expression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of the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two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genes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>. Sci Rep. 8:10398.</w:t>
      </w:r>
    </w:p>
    <w:p w14:paraId="73BAD122" w14:textId="19267383" w:rsidR="00A230AD" w:rsidRPr="00A230AD" w:rsidRDefault="00A230AD" w:rsidP="00A230AD">
      <w:pPr>
        <w:rPr>
          <w:rFonts w:ascii="Arial" w:hAnsi="Arial" w:cs="Arial"/>
          <w:color w:val="000000"/>
          <w:sz w:val="23"/>
          <w:szCs w:val="23"/>
        </w:rPr>
      </w:pPr>
      <w:r w:rsidRPr="00A230AD">
        <w:rPr>
          <w:rFonts w:ascii="Arial" w:hAnsi="Arial" w:cs="Arial"/>
          <w:color w:val="000000"/>
          <w:sz w:val="23"/>
          <w:szCs w:val="23"/>
        </w:rPr>
        <w:t>Yair-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Sabag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S, Tedeschi V, Vitulano C,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Barnea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E, Glaser F,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Melamed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Kadosh D,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Taurog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JD, Fiorillo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r w:rsidRPr="00A230AD">
        <w:rPr>
          <w:rFonts w:ascii="Arial" w:hAnsi="Arial" w:cs="Arial"/>
          <w:color w:val="000000"/>
          <w:sz w:val="23"/>
          <w:szCs w:val="23"/>
        </w:rPr>
        <w:t xml:space="preserve">MT, Sorrentino R,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Admon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A. 2018. The Peptide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Repertoire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of HLA-B27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may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include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Ligands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with</w:t>
      </w:r>
      <w:r w:rsidR="00DD336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Lysine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at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 P2 Anchor Position. </w:t>
      </w:r>
      <w:proofErr w:type="spellStart"/>
      <w:r w:rsidRPr="00A230AD">
        <w:rPr>
          <w:rFonts w:ascii="Arial" w:hAnsi="Arial" w:cs="Arial"/>
          <w:color w:val="000000"/>
          <w:sz w:val="23"/>
          <w:szCs w:val="23"/>
        </w:rPr>
        <w:t>Proteomics</w:t>
      </w:r>
      <w:proofErr w:type="spellEnd"/>
      <w:r w:rsidRPr="00A230AD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 w:rsidRPr="00A230AD">
        <w:rPr>
          <w:rFonts w:ascii="Arial" w:hAnsi="Arial" w:cs="Arial"/>
          <w:color w:val="000000"/>
          <w:sz w:val="23"/>
          <w:szCs w:val="23"/>
        </w:rPr>
        <w:t>18:e</w:t>
      </w:r>
      <w:proofErr w:type="gramEnd"/>
      <w:r w:rsidRPr="00A230AD">
        <w:rPr>
          <w:rFonts w:ascii="Arial" w:hAnsi="Arial" w:cs="Arial"/>
          <w:color w:val="000000"/>
          <w:sz w:val="23"/>
          <w:szCs w:val="23"/>
        </w:rPr>
        <w:t>1700249.</w:t>
      </w:r>
    </w:p>
    <w:sectPr w:rsidR="00A230AD" w:rsidRPr="00A23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32F"/>
    <w:multiLevelType w:val="hybridMultilevel"/>
    <w:tmpl w:val="B61E15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3AF8"/>
    <w:multiLevelType w:val="hybridMultilevel"/>
    <w:tmpl w:val="ECC042D2"/>
    <w:lvl w:ilvl="0" w:tplc="537AC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5029"/>
    <w:multiLevelType w:val="hybridMultilevel"/>
    <w:tmpl w:val="0AA47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3C30"/>
    <w:multiLevelType w:val="hybridMultilevel"/>
    <w:tmpl w:val="407E9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A06CDD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85CF9"/>
    <w:multiLevelType w:val="hybridMultilevel"/>
    <w:tmpl w:val="00B21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BA2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362275"/>
    <w:multiLevelType w:val="hybridMultilevel"/>
    <w:tmpl w:val="48CA02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379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64616597">
    <w:abstractNumId w:val="7"/>
  </w:num>
  <w:num w:numId="2" w16cid:durableId="1419404836">
    <w:abstractNumId w:val="5"/>
  </w:num>
  <w:num w:numId="3" w16cid:durableId="1104375956">
    <w:abstractNumId w:val="3"/>
  </w:num>
  <w:num w:numId="4" w16cid:durableId="1904363853">
    <w:abstractNumId w:val="4"/>
  </w:num>
  <w:num w:numId="5" w16cid:durableId="175702349">
    <w:abstractNumId w:val="1"/>
  </w:num>
  <w:num w:numId="6" w16cid:durableId="2097244764">
    <w:abstractNumId w:val="2"/>
  </w:num>
  <w:num w:numId="7" w16cid:durableId="1276405109">
    <w:abstractNumId w:val="0"/>
  </w:num>
  <w:num w:numId="8" w16cid:durableId="1432313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AB"/>
    <w:rsid w:val="000A4670"/>
    <w:rsid w:val="00234E20"/>
    <w:rsid w:val="002E2186"/>
    <w:rsid w:val="008E24AB"/>
    <w:rsid w:val="00A230AD"/>
    <w:rsid w:val="00C20B51"/>
    <w:rsid w:val="00D95681"/>
    <w:rsid w:val="00DD3361"/>
    <w:rsid w:val="00DE6FEB"/>
    <w:rsid w:val="00E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E7BB8"/>
  <w15:chartTrackingRefBased/>
  <w15:docId w15:val="{1D86641B-B329-481D-B096-4C587FE7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2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E24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24A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3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sidilaurea.uniroma1.it/it/users" TargetMode="External"/><Relationship Id="rId5" Type="http://schemas.openxmlformats.org/officeDocument/2006/relationships/hyperlink" Target="mailto:mariateresa.fiorillo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De Lorenzo</dc:creator>
  <cp:keywords/>
  <dc:description/>
  <cp:lastModifiedBy>Simone Ferrari</cp:lastModifiedBy>
  <cp:revision>2</cp:revision>
  <dcterms:created xsi:type="dcterms:W3CDTF">2023-05-17T12:12:00Z</dcterms:created>
  <dcterms:modified xsi:type="dcterms:W3CDTF">2023-05-17T12:12:00Z</dcterms:modified>
</cp:coreProperties>
</file>