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6A84C" w14:textId="3C5E7B53" w:rsidR="0086069B" w:rsidRPr="00537B40" w:rsidRDefault="00D049FA" w:rsidP="00D049FA">
      <w:pPr>
        <w:jc w:val="both"/>
        <w:rPr>
          <w:rFonts w:ascii="Arial" w:hAnsi="Arial" w:cs="Arial"/>
          <w:b/>
          <w:bCs/>
          <w:sz w:val="32"/>
          <w:szCs w:val="32"/>
          <w:lang w:val="en-GB"/>
        </w:rPr>
      </w:pPr>
      <w:r w:rsidRPr="00537B40">
        <w:rPr>
          <w:rFonts w:ascii="Arial" w:hAnsi="Arial" w:cs="Arial"/>
          <w:b/>
          <w:bCs/>
          <w:sz w:val="32"/>
          <w:szCs w:val="32"/>
          <w:lang w:val="en-GB"/>
        </w:rPr>
        <w:t>Evaluation criteria for the admission exam to the PhD course in Dynamic and Clinical Psychology (XXXVII cycle)</w:t>
      </w:r>
    </w:p>
    <w:p w14:paraId="0FADEEBB" w14:textId="563FAE94" w:rsidR="00D049FA" w:rsidRPr="00537B40" w:rsidRDefault="00D049FA" w:rsidP="00D049FA">
      <w:pPr>
        <w:jc w:val="both"/>
        <w:rPr>
          <w:rFonts w:ascii="Arial" w:hAnsi="Arial" w:cs="Arial"/>
          <w:b/>
          <w:bCs/>
          <w:szCs w:val="24"/>
          <w:lang w:val="en-GB"/>
        </w:rPr>
      </w:pPr>
      <w:r w:rsidRPr="00537B40">
        <w:rPr>
          <w:rFonts w:ascii="Arial" w:hAnsi="Arial" w:cs="Arial"/>
          <w:b/>
          <w:bCs/>
          <w:szCs w:val="24"/>
          <w:lang w:val="en-GB"/>
        </w:rPr>
        <w:t>Titles and oral exam will be evaluated according to the following evaluation grid:</w:t>
      </w:r>
    </w:p>
    <w:p w14:paraId="22781917" w14:textId="0E787235" w:rsidR="00D049FA" w:rsidRPr="00537B40" w:rsidRDefault="00D049FA" w:rsidP="00D049FA">
      <w:pPr>
        <w:jc w:val="both"/>
        <w:rPr>
          <w:rFonts w:ascii="Arial" w:hAnsi="Arial" w:cs="Arial"/>
          <w:b/>
          <w:bCs/>
          <w:szCs w:val="24"/>
          <w:lang w:val="en-GB"/>
        </w:rPr>
      </w:pPr>
      <w:r w:rsidRPr="00537B40">
        <w:rPr>
          <w:rFonts w:ascii="Arial" w:hAnsi="Arial" w:cs="Arial"/>
          <w:b/>
          <w:bCs/>
          <w:szCs w:val="24"/>
          <w:lang w:val="en-GB"/>
        </w:rPr>
        <w:t>1. Titles (max 25 scores)</w:t>
      </w:r>
    </w:p>
    <w:p w14:paraId="346F50EE" w14:textId="4675F063" w:rsidR="00D049FA" w:rsidRPr="00537B40" w:rsidRDefault="00A57BF9" w:rsidP="00D049FA">
      <w:pPr>
        <w:rPr>
          <w:lang w:val="en-GB"/>
        </w:rPr>
      </w:pPr>
      <w:r w:rsidRPr="00537B40">
        <w:rPr>
          <w:b/>
          <w:bCs/>
          <w:lang w:val="en-GB"/>
        </w:rPr>
        <w:t>1.1</w:t>
      </w:r>
      <w:r w:rsidRPr="00537B40">
        <w:rPr>
          <w:lang w:val="en-GB"/>
        </w:rPr>
        <w:t xml:space="preserve"> Degree mark (master's degree, specialist degree or single-cycle degree - max 15 scores)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56"/>
      </w:tblGrid>
      <w:tr w:rsidR="00D0723B" w:rsidRPr="00537B40" w14:paraId="4C2AAE4F" w14:textId="77777777" w:rsidTr="00BC7726">
        <w:tc>
          <w:tcPr>
            <w:tcW w:w="2518" w:type="dxa"/>
          </w:tcPr>
          <w:p w14:paraId="06F79CC0" w14:textId="1AC48A84" w:rsidR="00D0723B" w:rsidRPr="00537B40" w:rsidRDefault="00D0723B" w:rsidP="00BC7726">
            <w:pPr>
              <w:spacing w:after="0" w:line="240" w:lineRule="auto"/>
              <w:rPr>
                <w:szCs w:val="24"/>
                <w:lang w:val="en-GB"/>
              </w:rPr>
            </w:pPr>
            <w:r w:rsidRPr="00537B40">
              <w:rPr>
                <w:szCs w:val="24"/>
                <w:lang w:val="en-GB"/>
              </w:rPr>
              <w:t>Mark</w:t>
            </w:r>
          </w:p>
        </w:tc>
        <w:tc>
          <w:tcPr>
            <w:tcW w:w="851" w:type="dxa"/>
          </w:tcPr>
          <w:p w14:paraId="6445285F" w14:textId="49360759" w:rsidR="00D0723B" w:rsidRPr="00537B40" w:rsidRDefault="00172FCF" w:rsidP="00BC7726">
            <w:pPr>
              <w:spacing w:after="0" w:line="240" w:lineRule="auto"/>
              <w:rPr>
                <w:szCs w:val="24"/>
                <w:lang w:val="en-GB"/>
              </w:rPr>
            </w:pPr>
            <w:r w:rsidRPr="00537B40">
              <w:rPr>
                <w:szCs w:val="24"/>
                <w:lang w:val="en-GB"/>
              </w:rPr>
              <w:t>Scores</w:t>
            </w:r>
          </w:p>
        </w:tc>
      </w:tr>
      <w:tr w:rsidR="00D0723B" w:rsidRPr="00537B40" w14:paraId="19655E8D" w14:textId="77777777" w:rsidTr="00BC7726">
        <w:tc>
          <w:tcPr>
            <w:tcW w:w="2518" w:type="dxa"/>
          </w:tcPr>
          <w:p w14:paraId="1C6DF8D3" w14:textId="62DAF91E" w:rsidR="00D0723B" w:rsidRPr="00537B40" w:rsidRDefault="00D0723B" w:rsidP="00BC7726">
            <w:pPr>
              <w:spacing w:after="0" w:line="240" w:lineRule="auto"/>
              <w:rPr>
                <w:szCs w:val="24"/>
                <w:lang w:val="en-GB"/>
              </w:rPr>
            </w:pPr>
            <w:r w:rsidRPr="00537B40">
              <w:rPr>
                <w:szCs w:val="24"/>
                <w:lang w:val="en-GB"/>
              </w:rPr>
              <w:t xml:space="preserve">110; 110 </w:t>
            </w:r>
            <w:r w:rsidR="002C52D7" w:rsidRPr="00537B40">
              <w:rPr>
                <w:szCs w:val="24"/>
                <w:lang w:val="en-GB"/>
              </w:rPr>
              <w:t>with honours</w:t>
            </w:r>
          </w:p>
        </w:tc>
        <w:tc>
          <w:tcPr>
            <w:tcW w:w="851" w:type="dxa"/>
            <w:vAlign w:val="center"/>
          </w:tcPr>
          <w:p w14:paraId="41EF6E40" w14:textId="77777777" w:rsidR="00D0723B" w:rsidRPr="00537B40" w:rsidRDefault="00D0723B" w:rsidP="00BC7726">
            <w:pPr>
              <w:spacing w:after="0" w:line="240" w:lineRule="auto"/>
              <w:jc w:val="center"/>
              <w:rPr>
                <w:szCs w:val="24"/>
                <w:lang w:val="en-GB"/>
              </w:rPr>
            </w:pPr>
            <w:r w:rsidRPr="00537B40">
              <w:rPr>
                <w:szCs w:val="24"/>
                <w:lang w:val="en-GB"/>
              </w:rPr>
              <w:t>15</w:t>
            </w:r>
          </w:p>
        </w:tc>
      </w:tr>
      <w:tr w:rsidR="00D0723B" w:rsidRPr="00537B40" w14:paraId="21AB7FF0" w14:textId="77777777" w:rsidTr="00BC7726">
        <w:tc>
          <w:tcPr>
            <w:tcW w:w="2518" w:type="dxa"/>
          </w:tcPr>
          <w:p w14:paraId="60E8FDC5" w14:textId="77777777" w:rsidR="00D0723B" w:rsidRPr="00537B40" w:rsidRDefault="00D0723B" w:rsidP="00BC7726">
            <w:pPr>
              <w:spacing w:after="0" w:line="240" w:lineRule="auto"/>
              <w:rPr>
                <w:szCs w:val="24"/>
                <w:lang w:val="en-GB"/>
              </w:rPr>
            </w:pPr>
            <w:r w:rsidRPr="00537B40">
              <w:rPr>
                <w:szCs w:val="24"/>
                <w:lang w:val="en-GB"/>
              </w:rPr>
              <w:t>109 -105</w:t>
            </w:r>
          </w:p>
        </w:tc>
        <w:tc>
          <w:tcPr>
            <w:tcW w:w="851" w:type="dxa"/>
            <w:vAlign w:val="center"/>
          </w:tcPr>
          <w:p w14:paraId="655C5165" w14:textId="77777777" w:rsidR="00D0723B" w:rsidRPr="00537B40" w:rsidRDefault="00D0723B" w:rsidP="00BC7726">
            <w:pPr>
              <w:spacing w:after="0" w:line="240" w:lineRule="auto"/>
              <w:jc w:val="center"/>
              <w:rPr>
                <w:szCs w:val="24"/>
                <w:lang w:val="en-GB"/>
              </w:rPr>
            </w:pPr>
            <w:r w:rsidRPr="00537B40">
              <w:rPr>
                <w:szCs w:val="24"/>
                <w:lang w:val="en-GB"/>
              </w:rPr>
              <w:t>12</w:t>
            </w:r>
          </w:p>
        </w:tc>
      </w:tr>
      <w:tr w:rsidR="00D0723B" w:rsidRPr="00537B40" w14:paraId="1E3237E3" w14:textId="77777777" w:rsidTr="00BC7726">
        <w:tc>
          <w:tcPr>
            <w:tcW w:w="2518" w:type="dxa"/>
          </w:tcPr>
          <w:p w14:paraId="4B57D169" w14:textId="77777777" w:rsidR="00D0723B" w:rsidRPr="00537B40" w:rsidRDefault="00D0723B" w:rsidP="00BC7726">
            <w:pPr>
              <w:spacing w:after="0" w:line="240" w:lineRule="auto"/>
              <w:rPr>
                <w:szCs w:val="24"/>
                <w:lang w:val="en-GB"/>
              </w:rPr>
            </w:pPr>
            <w:r w:rsidRPr="00537B40">
              <w:rPr>
                <w:szCs w:val="24"/>
                <w:lang w:val="en-GB"/>
              </w:rPr>
              <w:t>104 -100</w:t>
            </w:r>
          </w:p>
        </w:tc>
        <w:tc>
          <w:tcPr>
            <w:tcW w:w="851" w:type="dxa"/>
            <w:vAlign w:val="center"/>
          </w:tcPr>
          <w:p w14:paraId="03097DF8" w14:textId="77777777" w:rsidR="00D0723B" w:rsidRPr="00537B40" w:rsidRDefault="00D0723B" w:rsidP="00BC7726">
            <w:pPr>
              <w:spacing w:after="0" w:line="240" w:lineRule="auto"/>
              <w:jc w:val="center"/>
              <w:rPr>
                <w:szCs w:val="24"/>
                <w:lang w:val="en-GB"/>
              </w:rPr>
            </w:pPr>
            <w:r w:rsidRPr="00537B40">
              <w:rPr>
                <w:szCs w:val="24"/>
                <w:lang w:val="en-GB"/>
              </w:rPr>
              <w:t>8</w:t>
            </w:r>
          </w:p>
        </w:tc>
      </w:tr>
      <w:tr w:rsidR="00D0723B" w:rsidRPr="00537B40" w14:paraId="33A5BD02" w14:textId="77777777" w:rsidTr="00BC7726">
        <w:tc>
          <w:tcPr>
            <w:tcW w:w="2518" w:type="dxa"/>
          </w:tcPr>
          <w:p w14:paraId="0796BA11" w14:textId="77777777" w:rsidR="00D0723B" w:rsidRPr="00537B40" w:rsidRDefault="00D0723B" w:rsidP="00BC7726">
            <w:pPr>
              <w:spacing w:after="0" w:line="240" w:lineRule="auto"/>
              <w:rPr>
                <w:szCs w:val="24"/>
                <w:lang w:val="en-GB"/>
              </w:rPr>
            </w:pPr>
            <w:r w:rsidRPr="00537B40">
              <w:rPr>
                <w:szCs w:val="24"/>
                <w:lang w:val="en-GB"/>
              </w:rPr>
              <w:t>&lt; 100</w:t>
            </w:r>
          </w:p>
        </w:tc>
        <w:tc>
          <w:tcPr>
            <w:tcW w:w="851" w:type="dxa"/>
            <w:vAlign w:val="center"/>
          </w:tcPr>
          <w:p w14:paraId="3C6CC3F1" w14:textId="77777777" w:rsidR="00D0723B" w:rsidRPr="00537B40" w:rsidRDefault="00D0723B" w:rsidP="00BC7726">
            <w:pPr>
              <w:spacing w:after="0" w:line="240" w:lineRule="auto"/>
              <w:jc w:val="center"/>
              <w:rPr>
                <w:szCs w:val="24"/>
                <w:lang w:val="en-GB"/>
              </w:rPr>
            </w:pPr>
            <w:r w:rsidRPr="00537B40">
              <w:rPr>
                <w:szCs w:val="24"/>
                <w:lang w:val="en-GB"/>
              </w:rPr>
              <w:t>1</w:t>
            </w:r>
          </w:p>
        </w:tc>
      </w:tr>
    </w:tbl>
    <w:p w14:paraId="46DFDB43" w14:textId="77777777" w:rsidR="002C52D7" w:rsidRPr="00537B40" w:rsidRDefault="002C52D7" w:rsidP="002C52D7">
      <w:pPr>
        <w:spacing w:line="240" w:lineRule="auto"/>
        <w:jc w:val="both"/>
        <w:rPr>
          <w:szCs w:val="24"/>
          <w:lang w:val="en-GB"/>
        </w:rPr>
      </w:pPr>
    </w:p>
    <w:p w14:paraId="253619D6" w14:textId="4796E1CE" w:rsidR="002C52D7" w:rsidRPr="00537B40" w:rsidRDefault="002C52D7" w:rsidP="002C52D7">
      <w:pPr>
        <w:spacing w:line="240" w:lineRule="auto"/>
        <w:jc w:val="both"/>
        <w:rPr>
          <w:szCs w:val="24"/>
          <w:lang w:val="en-GB"/>
        </w:rPr>
      </w:pPr>
      <w:r w:rsidRPr="00537B40">
        <w:rPr>
          <w:szCs w:val="24"/>
          <w:lang w:val="en-GB"/>
        </w:rPr>
        <w:t xml:space="preserve">For students who will discuss the thesis after the evaluation of qualifications but </w:t>
      </w:r>
      <w:r w:rsidRPr="00537B40">
        <w:rPr>
          <w:b/>
          <w:bCs/>
          <w:szCs w:val="24"/>
          <w:lang w:val="en-GB"/>
        </w:rPr>
        <w:t>BY October 31</w:t>
      </w:r>
      <w:r w:rsidRPr="00537B40">
        <w:rPr>
          <w:szCs w:val="24"/>
          <w:lang w:val="en-GB"/>
        </w:rPr>
        <w:t xml:space="preserve"> </w:t>
      </w:r>
      <w:r w:rsidRPr="00537B40">
        <w:rPr>
          <w:b/>
          <w:bCs/>
          <w:szCs w:val="24"/>
          <w:lang w:val="en-GB"/>
        </w:rPr>
        <w:t>2021</w:t>
      </w:r>
      <w:r w:rsidRPr="00537B40">
        <w:rPr>
          <w:szCs w:val="24"/>
          <w:lang w:val="en-GB"/>
        </w:rPr>
        <w:t>, the grid in point 1.1 is replaced by the following. The same evaluation grid will be used for students coming from foreign universities applying the relevant current conversion tables.</w:t>
      </w:r>
      <w:r w:rsidR="00FD2238">
        <w:rPr>
          <w:szCs w:val="24"/>
          <w:lang w:val="en-GB"/>
        </w:rPr>
        <w:t xml:space="preserve"> (max 12 scores)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134"/>
      </w:tblGrid>
      <w:tr w:rsidR="002C52D7" w:rsidRPr="00537B40" w14:paraId="68991243" w14:textId="77777777" w:rsidTr="00BC7726">
        <w:tc>
          <w:tcPr>
            <w:tcW w:w="3256" w:type="dxa"/>
          </w:tcPr>
          <w:p w14:paraId="6ABBFF1F" w14:textId="31BCD3BE" w:rsidR="002C52D7" w:rsidRPr="00537B40" w:rsidRDefault="00172FCF" w:rsidP="00BC7726">
            <w:pPr>
              <w:spacing w:after="0" w:line="240" w:lineRule="auto"/>
              <w:rPr>
                <w:szCs w:val="24"/>
                <w:lang w:val="en-GB"/>
              </w:rPr>
            </w:pPr>
            <w:r w:rsidRPr="00537B40">
              <w:rPr>
                <w:szCs w:val="24"/>
                <w:lang w:val="en-GB"/>
              </w:rPr>
              <w:t>Arithmetic mean of exams</w:t>
            </w:r>
          </w:p>
        </w:tc>
        <w:tc>
          <w:tcPr>
            <w:tcW w:w="1134" w:type="dxa"/>
          </w:tcPr>
          <w:p w14:paraId="49374684" w14:textId="0A4921A4" w:rsidR="002C52D7" w:rsidRPr="00537B40" w:rsidRDefault="00172FCF" w:rsidP="00BC7726">
            <w:pPr>
              <w:spacing w:after="0" w:line="240" w:lineRule="auto"/>
              <w:rPr>
                <w:szCs w:val="24"/>
                <w:lang w:val="en-GB"/>
              </w:rPr>
            </w:pPr>
            <w:r w:rsidRPr="00537B40">
              <w:rPr>
                <w:szCs w:val="24"/>
                <w:lang w:val="en-GB"/>
              </w:rPr>
              <w:t>Scores</w:t>
            </w:r>
          </w:p>
        </w:tc>
      </w:tr>
      <w:tr w:rsidR="002C52D7" w:rsidRPr="00537B40" w14:paraId="6AA87941" w14:textId="77777777" w:rsidTr="00BC7726">
        <w:tc>
          <w:tcPr>
            <w:tcW w:w="3256" w:type="dxa"/>
          </w:tcPr>
          <w:p w14:paraId="535E8C26" w14:textId="77777777" w:rsidR="002C52D7" w:rsidRPr="00537B40" w:rsidRDefault="002C52D7" w:rsidP="00BC7726">
            <w:pPr>
              <w:spacing w:after="0" w:line="240" w:lineRule="auto"/>
              <w:rPr>
                <w:szCs w:val="24"/>
                <w:lang w:val="en-GB"/>
              </w:rPr>
            </w:pPr>
            <w:r w:rsidRPr="00537B40">
              <w:rPr>
                <w:szCs w:val="24"/>
                <w:lang w:val="en-GB"/>
              </w:rPr>
              <w:t>29 - 30</w:t>
            </w:r>
          </w:p>
        </w:tc>
        <w:tc>
          <w:tcPr>
            <w:tcW w:w="1134" w:type="dxa"/>
            <w:vAlign w:val="center"/>
          </w:tcPr>
          <w:p w14:paraId="6D3378A6" w14:textId="77777777" w:rsidR="002C52D7" w:rsidRPr="00537B40" w:rsidRDefault="002C52D7" w:rsidP="00BC7726">
            <w:pPr>
              <w:spacing w:after="0" w:line="240" w:lineRule="auto"/>
              <w:jc w:val="center"/>
              <w:rPr>
                <w:szCs w:val="24"/>
                <w:lang w:val="en-GB"/>
              </w:rPr>
            </w:pPr>
            <w:r w:rsidRPr="00537B40">
              <w:rPr>
                <w:szCs w:val="24"/>
                <w:lang w:val="en-GB"/>
              </w:rPr>
              <w:t>12</w:t>
            </w:r>
          </w:p>
        </w:tc>
      </w:tr>
      <w:tr w:rsidR="002C52D7" w:rsidRPr="00537B40" w14:paraId="0404B210" w14:textId="77777777" w:rsidTr="00BC7726">
        <w:tc>
          <w:tcPr>
            <w:tcW w:w="3256" w:type="dxa"/>
          </w:tcPr>
          <w:p w14:paraId="5C40A3AE" w14:textId="77777777" w:rsidR="002C52D7" w:rsidRPr="00537B40" w:rsidRDefault="002C52D7" w:rsidP="00BC7726">
            <w:pPr>
              <w:spacing w:after="0" w:line="240" w:lineRule="auto"/>
              <w:rPr>
                <w:szCs w:val="24"/>
                <w:lang w:val="en-GB"/>
              </w:rPr>
            </w:pPr>
            <w:r w:rsidRPr="00537B40">
              <w:rPr>
                <w:szCs w:val="24"/>
                <w:lang w:val="en-GB"/>
              </w:rPr>
              <w:t>28 – 28.99</w:t>
            </w:r>
          </w:p>
        </w:tc>
        <w:tc>
          <w:tcPr>
            <w:tcW w:w="1134" w:type="dxa"/>
            <w:vAlign w:val="center"/>
          </w:tcPr>
          <w:p w14:paraId="36D427B9" w14:textId="77777777" w:rsidR="002C52D7" w:rsidRPr="00537B40" w:rsidRDefault="002C52D7" w:rsidP="00BC7726">
            <w:pPr>
              <w:spacing w:after="0" w:line="240" w:lineRule="auto"/>
              <w:jc w:val="center"/>
              <w:rPr>
                <w:szCs w:val="24"/>
                <w:lang w:val="en-GB"/>
              </w:rPr>
            </w:pPr>
            <w:r w:rsidRPr="00537B40">
              <w:rPr>
                <w:szCs w:val="24"/>
                <w:lang w:val="en-GB"/>
              </w:rPr>
              <w:t>10</w:t>
            </w:r>
          </w:p>
        </w:tc>
      </w:tr>
      <w:tr w:rsidR="002C52D7" w:rsidRPr="00537B40" w14:paraId="42F03164" w14:textId="77777777" w:rsidTr="00BC7726">
        <w:tc>
          <w:tcPr>
            <w:tcW w:w="3256" w:type="dxa"/>
          </w:tcPr>
          <w:p w14:paraId="432FB8B9" w14:textId="77777777" w:rsidR="002C52D7" w:rsidRPr="00537B40" w:rsidRDefault="002C52D7" w:rsidP="00BC7726">
            <w:pPr>
              <w:spacing w:after="0" w:line="240" w:lineRule="auto"/>
              <w:rPr>
                <w:szCs w:val="24"/>
                <w:lang w:val="en-GB"/>
              </w:rPr>
            </w:pPr>
            <w:r w:rsidRPr="00537B40">
              <w:rPr>
                <w:szCs w:val="24"/>
                <w:lang w:val="en-GB"/>
              </w:rPr>
              <w:t>27 - 27.99</w:t>
            </w:r>
          </w:p>
        </w:tc>
        <w:tc>
          <w:tcPr>
            <w:tcW w:w="1134" w:type="dxa"/>
            <w:vAlign w:val="center"/>
          </w:tcPr>
          <w:p w14:paraId="18CE71CB" w14:textId="77777777" w:rsidR="002C52D7" w:rsidRPr="00537B40" w:rsidRDefault="002C52D7" w:rsidP="00BC7726">
            <w:pPr>
              <w:spacing w:after="0" w:line="240" w:lineRule="auto"/>
              <w:jc w:val="center"/>
              <w:rPr>
                <w:szCs w:val="24"/>
                <w:lang w:val="en-GB"/>
              </w:rPr>
            </w:pPr>
            <w:r w:rsidRPr="00537B40">
              <w:rPr>
                <w:szCs w:val="24"/>
                <w:lang w:val="en-GB"/>
              </w:rPr>
              <w:t>8</w:t>
            </w:r>
          </w:p>
        </w:tc>
      </w:tr>
      <w:tr w:rsidR="002C52D7" w:rsidRPr="00537B40" w14:paraId="49F73EB4" w14:textId="77777777" w:rsidTr="00BC7726">
        <w:tc>
          <w:tcPr>
            <w:tcW w:w="3256" w:type="dxa"/>
          </w:tcPr>
          <w:p w14:paraId="13A3AF75" w14:textId="77777777" w:rsidR="002C52D7" w:rsidRPr="00537B40" w:rsidRDefault="002C52D7" w:rsidP="00BC7726">
            <w:pPr>
              <w:spacing w:after="0" w:line="240" w:lineRule="auto"/>
              <w:rPr>
                <w:szCs w:val="24"/>
                <w:lang w:val="en-GB"/>
              </w:rPr>
            </w:pPr>
            <w:r w:rsidRPr="00537B40">
              <w:rPr>
                <w:szCs w:val="24"/>
                <w:lang w:val="en-GB"/>
              </w:rPr>
              <w:t>26 - 26.99</w:t>
            </w:r>
          </w:p>
        </w:tc>
        <w:tc>
          <w:tcPr>
            <w:tcW w:w="1134" w:type="dxa"/>
            <w:vAlign w:val="center"/>
          </w:tcPr>
          <w:p w14:paraId="098EE516" w14:textId="77777777" w:rsidR="002C52D7" w:rsidRPr="00537B40" w:rsidRDefault="002C52D7" w:rsidP="00BC7726">
            <w:pPr>
              <w:spacing w:after="0" w:line="240" w:lineRule="auto"/>
              <w:jc w:val="center"/>
              <w:rPr>
                <w:szCs w:val="24"/>
                <w:lang w:val="en-GB"/>
              </w:rPr>
            </w:pPr>
            <w:r w:rsidRPr="00537B40">
              <w:rPr>
                <w:szCs w:val="24"/>
                <w:lang w:val="en-GB"/>
              </w:rPr>
              <w:t>6</w:t>
            </w:r>
          </w:p>
        </w:tc>
      </w:tr>
      <w:tr w:rsidR="002C52D7" w:rsidRPr="00537B40" w14:paraId="6B6A7478" w14:textId="77777777" w:rsidTr="00BC7726">
        <w:tc>
          <w:tcPr>
            <w:tcW w:w="3256" w:type="dxa"/>
          </w:tcPr>
          <w:p w14:paraId="2D2D64B2" w14:textId="77777777" w:rsidR="002C52D7" w:rsidRPr="00537B40" w:rsidRDefault="002C52D7" w:rsidP="00BC7726">
            <w:pPr>
              <w:spacing w:after="0" w:line="240" w:lineRule="auto"/>
              <w:rPr>
                <w:szCs w:val="24"/>
                <w:lang w:val="en-GB"/>
              </w:rPr>
            </w:pPr>
            <w:r w:rsidRPr="00537B40">
              <w:rPr>
                <w:szCs w:val="24"/>
                <w:lang w:val="en-GB"/>
              </w:rPr>
              <w:t>25 - 25.99</w:t>
            </w:r>
          </w:p>
        </w:tc>
        <w:tc>
          <w:tcPr>
            <w:tcW w:w="1134" w:type="dxa"/>
            <w:vAlign w:val="center"/>
          </w:tcPr>
          <w:p w14:paraId="417CCA52" w14:textId="77777777" w:rsidR="002C52D7" w:rsidRPr="00537B40" w:rsidRDefault="002C52D7" w:rsidP="00BC7726">
            <w:pPr>
              <w:spacing w:after="0" w:line="240" w:lineRule="auto"/>
              <w:jc w:val="center"/>
              <w:rPr>
                <w:szCs w:val="24"/>
                <w:lang w:val="en-GB"/>
              </w:rPr>
            </w:pPr>
            <w:r w:rsidRPr="00537B40">
              <w:rPr>
                <w:szCs w:val="24"/>
                <w:lang w:val="en-GB"/>
              </w:rPr>
              <w:t>4</w:t>
            </w:r>
          </w:p>
        </w:tc>
      </w:tr>
      <w:tr w:rsidR="002C52D7" w:rsidRPr="00537B40" w14:paraId="6419C141" w14:textId="77777777" w:rsidTr="00BC7726">
        <w:tc>
          <w:tcPr>
            <w:tcW w:w="3256" w:type="dxa"/>
          </w:tcPr>
          <w:p w14:paraId="6E0300C6" w14:textId="77777777" w:rsidR="002C52D7" w:rsidRPr="00537B40" w:rsidRDefault="002C52D7" w:rsidP="00BC7726">
            <w:pPr>
              <w:spacing w:after="0" w:line="240" w:lineRule="auto"/>
              <w:rPr>
                <w:szCs w:val="24"/>
                <w:lang w:val="en-GB"/>
              </w:rPr>
            </w:pPr>
            <w:r w:rsidRPr="00537B40">
              <w:rPr>
                <w:szCs w:val="24"/>
                <w:lang w:val="en-GB"/>
              </w:rPr>
              <w:t>&lt;25</w:t>
            </w:r>
          </w:p>
        </w:tc>
        <w:tc>
          <w:tcPr>
            <w:tcW w:w="1134" w:type="dxa"/>
            <w:vAlign w:val="center"/>
          </w:tcPr>
          <w:p w14:paraId="04419C67" w14:textId="77777777" w:rsidR="002C52D7" w:rsidRPr="00537B40" w:rsidRDefault="002C52D7" w:rsidP="00BC7726">
            <w:pPr>
              <w:spacing w:after="0" w:line="240" w:lineRule="auto"/>
              <w:jc w:val="center"/>
              <w:rPr>
                <w:szCs w:val="24"/>
                <w:lang w:val="en-GB"/>
              </w:rPr>
            </w:pPr>
            <w:r w:rsidRPr="00537B40">
              <w:rPr>
                <w:szCs w:val="24"/>
                <w:lang w:val="en-GB"/>
              </w:rPr>
              <w:t>0</w:t>
            </w:r>
          </w:p>
        </w:tc>
      </w:tr>
    </w:tbl>
    <w:p w14:paraId="4B17D066" w14:textId="77777777" w:rsidR="002C52D7" w:rsidRPr="00537B40" w:rsidRDefault="002C52D7" w:rsidP="002C52D7">
      <w:pPr>
        <w:spacing w:line="240" w:lineRule="auto"/>
        <w:rPr>
          <w:szCs w:val="24"/>
          <w:lang w:val="en-GB"/>
        </w:rPr>
      </w:pPr>
    </w:p>
    <w:p w14:paraId="6BA2C792" w14:textId="6E1D3B21" w:rsidR="002C52D7" w:rsidRPr="00537B40" w:rsidRDefault="002C52D7" w:rsidP="002C52D7">
      <w:pPr>
        <w:spacing w:line="240" w:lineRule="auto"/>
        <w:rPr>
          <w:szCs w:val="24"/>
          <w:lang w:val="en-GB"/>
        </w:rPr>
      </w:pPr>
      <w:r w:rsidRPr="00537B40">
        <w:rPr>
          <w:szCs w:val="24"/>
          <w:lang w:val="en-GB"/>
        </w:rPr>
        <w:t xml:space="preserve">1.2 </w:t>
      </w:r>
      <w:r w:rsidR="006C2CFD" w:rsidRPr="00537B40">
        <w:rPr>
          <w:b/>
          <w:szCs w:val="24"/>
          <w:lang w:val="en-GB"/>
        </w:rPr>
        <w:t>Publications</w:t>
      </w:r>
      <w:r w:rsidRPr="00537B40">
        <w:rPr>
          <w:b/>
          <w:szCs w:val="24"/>
          <w:lang w:val="en-GB"/>
        </w:rPr>
        <w:t xml:space="preserve"> </w:t>
      </w:r>
      <w:r w:rsidRPr="00537B40">
        <w:rPr>
          <w:szCs w:val="24"/>
          <w:lang w:val="en-GB"/>
        </w:rPr>
        <w:t xml:space="preserve">(max 6 </w:t>
      </w:r>
      <w:r w:rsidR="00172FCF" w:rsidRPr="00537B40">
        <w:rPr>
          <w:szCs w:val="24"/>
          <w:lang w:val="en-GB"/>
        </w:rPr>
        <w:t>scores</w:t>
      </w:r>
      <w:r w:rsidRPr="00537B40">
        <w:rPr>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134"/>
      </w:tblGrid>
      <w:tr w:rsidR="002C52D7" w:rsidRPr="00537B40" w14:paraId="3F378448" w14:textId="77777777" w:rsidTr="00BC7726">
        <w:tc>
          <w:tcPr>
            <w:tcW w:w="3256" w:type="dxa"/>
          </w:tcPr>
          <w:p w14:paraId="5ECF292B" w14:textId="06714846" w:rsidR="002C52D7" w:rsidRPr="00537B40" w:rsidRDefault="002C52D7" w:rsidP="00BC7726">
            <w:pPr>
              <w:spacing w:after="0" w:line="240" w:lineRule="auto"/>
              <w:rPr>
                <w:szCs w:val="24"/>
                <w:lang w:val="en-GB"/>
              </w:rPr>
            </w:pPr>
            <w:r w:rsidRPr="00537B40">
              <w:rPr>
                <w:szCs w:val="24"/>
                <w:lang w:val="en-GB"/>
              </w:rPr>
              <w:t>Descri</w:t>
            </w:r>
            <w:r w:rsidR="00172FCF" w:rsidRPr="00537B40">
              <w:rPr>
                <w:szCs w:val="24"/>
                <w:lang w:val="en-GB"/>
              </w:rPr>
              <w:t>ption</w:t>
            </w:r>
          </w:p>
        </w:tc>
        <w:tc>
          <w:tcPr>
            <w:tcW w:w="1134" w:type="dxa"/>
          </w:tcPr>
          <w:p w14:paraId="4928D9C7" w14:textId="58B999DA" w:rsidR="002C52D7" w:rsidRPr="00537B40" w:rsidRDefault="00172FCF" w:rsidP="00BC7726">
            <w:pPr>
              <w:spacing w:after="0" w:line="240" w:lineRule="auto"/>
              <w:rPr>
                <w:szCs w:val="24"/>
                <w:lang w:val="en-GB"/>
              </w:rPr>
            </w:pPr>
            <w:r w:rsidRPr="00537B40">
              <w:rPr>
                <w:szCs w:val="24"/>
                <w:lang w:val="en-GB"/>
              </w:rPr>
              <w:t>Scores</w:t>
            </w:r>
          </w:p>
        </w:tc>
      </w:tr>
      <w:tr w:rsidR="002C52D7" w:rsidRPr="00537B40" w14:paraId="00B079C9" w14:textId="77777777" w:rsidTr="00BC7726">
        <w:tc>
          <w:tcPr>
            <w:tcW w:w="3256" w:type="dxa"/>
          </w:tcPr>
          <w:p w14:paraId="4FDA8197" w14:textId="3173ED8C" w:rsidR="002C52D7" w:rsidRPr="00537B40" w:rsidRDefault="00172FCF" w:rsidP="00BC7726">
            <w:pPr>
              <w:spacing w:after="0" w:line="240" w:lineRule="auto"/>
              <w:rPr>
                <w:szCs w:val="24"/>
                <w:lang w:val="en-GB"/>
              </w:rPr>
            </w:pPr>
            <w:r w:rsidRPr="00537B40">
              <w:rPr>
                <w:szCs w:val="24"/>
                <w:lang w:val="en-GB"/>
              </w:rPr>
              <w:t>More than one ISI Publication</w:t>
            </w:r>
          </w:p>
        </w:tc>
        <w:tc>
          <w:tcPr>
            <w:tcW w:w="1134" w:type="dxa"/>
            <w:vAlign w:val="center"/>
          </w:tcPr>
          <w:p w14:paraId="0CAA69FB" w14:textId="77777777" w:rsidR="002C52D7" w:rsidRPr="00537B40" w:rsidRDefault="002C52D7" w:rsidP="00BC7726">
            <w:pPr>
              <w:spacing w:after="0" w:line="240" w:lineRule="auto"/>
              <w:jc w:val="center"/>
              <w:rPr>
                <w:szCs w:val="24"/>
                <w:lang w:val="en-GB"/>
              </w:rPr>
            </w:pPr>
            <w:r w:rsidRPr="00537B40">
              <w:rPr>
                <w:szCs w:val="24"/>
                <w:lang w:val="en-GB"/>
              </w:rPr>
              <w:t>5</w:t>
            </w:r>
          </w:p>
        </w:tc>
      </w:tr>
      <w:tr w:rsidR="002C52D7" w:rsidRPr="00537B40" w14:paraId="513BD68E" w14:textId="77777777" w:rsidTr="00BC7726">
        <w:tc>
          <w:tcPr>
            <w:tcW w:w="3256" w:type="dxa"/>
          </w:tcPr>
          <w:p w14:paraId="0D3CBEF5" w14:textId="23E2E119" w:rsidR="002C52D7" w:rsidRPr="00537B40" w:rsidRDefault="002C52D7" w:rsidP="00BC7726">
            <w:pPr>
              <w:spacing w:after="0" w:line="240" w:lineRule="auto"/>
              <w:rPr>
                <w:szCs w:val="24"/>
                <w:lang w:val="en-GB"/>
              </w:rPr>
            </w:pPr>
            <w:r w:rsidRPr="00537B40">
              <w:rPr>
                <w:szCs w:val="24"/>
                <w:lang w:val="en-GB"/>
              </w:rPr>
              <w:t xml:space="preserve">1 </w:t>
            </w:r>
            <w:r w:rsidR="00172FCF" w:rsidRPr="00537B40">
              <w:rPr>
                <w:szCs w:val="24"/>
                <w:lang w:val="en-GB"/>
              </w:rPr>
              <w:t>ISI Publication</w:t>
            </w:r>
          </w:p>
        </w:tc>
        <w:tc>
          <w:tcPr>
            <w:tcW w:w="1134" w:type="dxa"/>
            <w:vAlign w:val="center"/>
          </w:tcPr>
          <w:p w14:paraId="6E76738D" w14:textId="77777777" w:rsidR="002C52D7" w:rsidRPr="00537B40" w:rsidRDefault="002C52D7" w:rsidP="00BC7726">
            <w:pPr>
              <w:spacing w:after="0" w:line="240" w:lineRule="auto"/>
              <w:jc w:val="center"/>
              <w:rPr>
                <w:szCs w:val="24"/>
                <w:lang w:val="en-GB"/>
              </w:rPr>
            </w:pPr>
            <w:r w:rsidRPr="00537B40">
              <w:rPr>
                <w:szCs w:val="24"/>
                <w:lang w:val="en-GB"/>
              </w:rPr>
              <w:t>2</w:t>
            </w:r>
          </w:p>
        </w:tc>
      </w:tr>
      <w:tr w:rsidR="002C52D7" w:rsidRPr="00537B40" w14:paraId="3A95D45B" w14:textId="77777777" w:rsidTr="00BC7726">
        <w:tc>
          <w:tcPr>
            <w:tcW w:w="3256" w:type="dxa"/>
          </w:tcPr>
          <w:p w14:paraId="7FA2DE39" w14:textId="26BCF92F" w:rsidR="002C52D7" w:rsidRPr="00537B40" w:rsidRDefault="00172FCF" w:rsidP="00BC7726">
            <w:pPr>
              <w:spacing w:after="0" w:line="240" w:lineRule="auto"/>
              <w:rPr>
                <w:szCs w:val="24"/>
                <w:lang w:val="en-GB"/>
              </w:rPr>
            </w:pPr>
            <w:r w:rsidRPr="00537B40">
              <w:rPr>
                <w:szCs w:val="24"/>
                <w:lang w:val="en-GB"/>
              </w:rPr>
              <w:t>More International Conference Contributions</w:t>
            </w:r>
          </w:p>
        </w:tc>
        <w:tc>
          <w:tcPr>
            <w:tcW w:w="1134" w:type="dxa"/>
            <w:vAlign w:val="center"/>
          </w:tcPr>
          <w:p w14:paraId="26342C57" w14:textId="77777777" w:rsidR="002C52D7" w:rsidRPr="00537B40" w:rsidRDefault="002C52D7" w:rsidP="00BC7726">
            <w:pPr>
              <w:spacing w:after="0" w:line="240" w:lineRule="auto"/>
              <w:jc w:val="center"/>
              <w:rPr>
                <w:szCs w:val="24"/>
                <w:lang w:val="en-GB"/>
              </w:rPr>
            </w:pPr>
            <w:r w:rsidRPr="00537B40">
              <w:rPr>
                <w:szCs w:val="24"/>
                <w:lang w:val="en-GB"/>
              </w:rPr>
              <w:t>1</w:t>
            </w:r>
          </w:p>
        </w:tc>
      </w:tr>
      <w:tr w:rsidR="002C52D7" w:rsidRPr="00537B40" w14:paraId="2C834AD2" w14:textId="77777777" w:rsidTr="00BC7726">
        <w:tc>
          <w:tcPr>
            <w:tcW w:w="3256" w:type="dxa"/>
          </w:tcPr>
          <w:p w14:paraId="21007D3A" w14:textId="01C6CF91" w:rsidR="002C52D7" w:rsidRPr="00537B40" w:rsidRDefault="001457C6" w:rsidP="00BC7726">
            <w:pPr>
              <w:spacing w:after="0" w:line="240" w:lineRule="auto"/>
              <w:rPr>
                <w:szCs w:val="24"/>
                <w:lang w:val="en-GB"/>
              </w:rPr>
            </w:pPr>
            <w:r w:rsidRPr="00537B40">
              <w:rPr>
                <w:szCs w:val="24"/>
                <w:lang w:val="en-GB"/>
              </w:rPr>
              <w:t>1 Contribution to international conference</w:t>
            </w:r>
          </w:p>
        </w:tc>
        <w:tc>
          <w:tcPr>
            <w:tcW w:w="1134" w:type="dxa"/>
            <w:vAlign w:val="center"/>
          </w:tcPr>
          <w:p w14:paraId="2AD0EF91" w14:textId="77777777" w:rsidR="002C52D7" w:rsidRPr="00537B40" w:rsidRDefault="002C52D7" w:rsidP="00BC7726">
            <w:pPr>
              <w:spacing w:after="0" w:line="240" w:lineRule="auto"/>
              <w:jc w:val="center"/>
              <w:rPr>
                <w:szCs w:val="24"/>
                <w:lang w:val="en-GB"/>
              </w:rPr>
            </w:pPr>
            <w:r w:rsidRPr="00537B40">
              <w:rPr>
                <w:szCs w:val="24"/>
                <w:lang w:val="en-GB"/>
              </w:rPr>
              <w:t>0,5</w:t>
            </w:r>
          </w:p>
        </w:tc>
      </w:tr>
    </w:tbl>
    <w:p w14:paraId="43DA1628" w14:textId="77777777" w:rsidR="002C52D7" w:rsidRPr="00537B40" w:rsidRDefault="002C52D7" w:rsidP="002C52D7">
      <w:pPr>
        <w:rPr>
          <w:szCs w:val="24"/>
          <w:lang w:val="en-GB"/>
        </w:rPr>
      </w:pPr>
    </w:p>
    <w:p w14:paraId="2090DB65" w14:textId="4953FAAF" w:rsidR="002C52D7" w:rsidRPr="00537B40" w:rsidRDefault="002C52D7" w:rsidP="002C52D7">
      <w:pPr>
        <w:rPr>
          <w:szCs w:val="24"/>
          <w:lang w:val="en-GB"/>
        </w:rPr>
      </w:pPr>
      <w:r w:rsidRPr="00537B40">
        <w:rPr>
          <w:szCs w:val="24"/>
          <w:lang w:val="en-GB"/>
        </w:rPr>
        <w:t xml:space="preserve">1.3 </w:t>
      </w:r>
      <w:r w:rsidR="006C2CFD" w:rsidRPr="00537B40">
        <w:rPr>
          <w:b/>
          <w:szCs w:val="24"/>
          <w:lang w:val="en-GB"/>
        </w:rPr>
        <w:t xml:space="preserve">Research Experiences </w:t>
      </w:r>
      <w:r w:rsidRPr="00537B40">
        <w:rPr>
          <w:szCs w:val="24"/>
          <w:lang w:val="en-GB"/>
        </w:rPr>
        <w:t xml:space="preserve">(max 4 </w:t>
      </w:r>
      <w:r w:rsidR="006C2CFD" w:rsidRPr="00537B40">
        <w:rPr>
          <w:szCs w:val="24"/>
          <w:lang w:val="en-GB"/>
        </w:rPr>
        <w:t>scores</w:t>
      </w:r>
      <w:r w:rsidRPr="00537B40">
        <w:rPr>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275"/>
      </w:tblGrid>
      <w:tr w:rsidR="002C52D7" w:rsidRPr="00537B40" w14:paraId="1C4BE90E" w14:textId="77777777" w:rsidTr="00BC7726">
        <w:tc>
          <w:tcPr>
            <w:tcW w:w="3256" w:type="dxa"/>
          </w:tcPr>
          <w:p w14:paraId="703D6384" w14:textId="226E5900" w:rsidR="002C52D7" w:rsidRPr="00537B40" w:rsidRDefault="002C52D7" w:rsidP="00BC7726">
            <w:pPr>
              <w:spacing w:after="0" w:line="240" w:lineRule="auto"/>
              <w:rPr>
                <w:szCs w:val="24"/>
                <w:lang w:val="en-GB"/>
              </w:rPr>
            </w:pPr>
            <w:r w:rsidRPr="00537B40">
              <w:rPr>
                <w:szCs w:val="24"/>
                <w:lang w:val="en-GB"/>
              </w:rPr>
              <w:t>Descri</w:t>
            </w:r>
            <w:r w:rsidR="006C2CFD" w:rsidRPr="00537B40">
              <w:rPr>
                <w:szCs w:val="24"/>
                <w:lang w:val="en-GB"/>
              </w:rPr>
              <w:t>ption</w:t>
            </w:r>
          </w:p>
        </w:tc>
        <w:tc>
          <w:tcPr>
            <w:tcW w:w="1275" w:type="dxa"/>
          </w:tcPr>
          <w:p w14:paraId="21C1A10B" w14:textId="1137659B" w:rsidR="002C52D7" w:rsidRPr="00537B40" w:rsidRDefault="006C2CFD" w:rsidP="00BC7726">
            <w:pPr>
              <w:spacing w:after="0" w:line="240" w:lineRule="auto"/>
              <w:rPr>
                <w:szCs w:val="24"/>
                <w:lang w:val="en-GB"/>
              </w:rPr>
            </w:pPr>
            <w:r w:rsidRPr="00537B40">
              <w:rPr>
                <w:szCs w:val="24"/>
                <w:lang w:val="en-GB"/>
              </w:rPr>
              <w:t>Scores</w:t>
            </w:r>
          </w:p>
        </w:tc>
      </w:tr>
      <w:tr w:rsidR="002C52D7" w:rsidRPr="00537B40" w14:paraId="63612FD2" w14:textId="77777777" w:rsidTr="00BC7726">
        <w:tc>
          <w:tcPr>
            <w:tcW w:w="3256" w:type="dxa"/>
          </w:tcPr>
          <w:p w14:paraId="25D0B361" w14:textId="77777777" w:rsidR="006C2CFD" w:rsidRPr="00537B40" w:rsidRDefault="006C2CFD" w:rsidP="006C2CFD">
            <w:pPr>
              <w:spacing w:after="0" w:line="240" w:lineRule="auto"/>
              <w:rPr>
                <w:szCs w:val="24"/>
                <w:lang w:val="en-GB"/>
              </w:rPr>
            </w:pPr>
            <w:r w:rsidRPr="00537B40">
              <w:rPr>
                <w:szCs w:val="24"/>
                <w:lang w:val="en-GB"/>
              </w:rPr>
              <w:t>Experience abroad (at least two months, including Erasmus),</w:t>
            </w:r>
          </w:p>
          <w:p w14:paraId="46DFA640" w14:textId="527E6189" w:rsidR="002C52D7" w:rsidRPr="00537B40" w:rsidRDefault="006C2CFD" w:rsidP="006C2CFD">
            <w:pPr>
              <w:spacing w:after="0" w:line="240" w:lineRule="auto"/>
              <w:rPr>
                <w:szCs w:val="24"/>
                <w:lang w:val="en-GB"/>
              </w:rPr>
            </w:pPr>
            <w:r w:rsidRPr="00537B40">
              <w:rPr>
                <w:szCs w:val="24"/>
                <w:lang w:val="en-GB"/>
              </w:rPr>
              <w:t xml:space="preserve">research collaboration contracts, scholarships, research grants, co.co.co, co.co.pro. postgraduate training courses, foreign language certificates, other </w:t>
            </w:r>
            <w:r w:rsidRPr="00537B40">
              <w:rPr>
                <w:szCs w:val="24"/>
                <w:lang w:val="en-GB"/>
              </w:rPr>
              <w:lastRenderedPageBreak/>
              <w:t>awards such as prizes, second degree.</w:t>
            </w:r>
          </w:p>
        </w:tc>
        <w:tc>
          <w:tcPr>
            <w:tcW w:w="1275" w:type="dxa"/>
            <w:vAlign w:val="center"/>
          </w:tcPr>
          <w:p w14:paraId="0CF9B9FF" w14:textId="77777777" w:rsidR="002C52D7" w:rsidRPr="00537B40" w:rsidRDefault="002C52D7" w:rsidP="00BC7726">
            <w:pPr>
              <w:spacing w:after="0" w:line="240" w:lineRule="auto"/>
              <w:jc w:val="center"/>
              <w:rPr>
                <w:szCs w:val="24"/>
                <w:lang w:val="en-GB"/>
              </w:rPr>
            </w:pPr>
            <w:r w:rsidRPr="00537B40">
              <w:rPr>
                <w:szCs w:val="24"/>
                <w:lang w:val="en-GB"/>
              </w:rPr>
              <w:lastRenderedPageBreak/>
              <w:t>4</w:t>
            </w:r>
          </w:p>
        </w:tc>
      </w:tr>
    </w:tbl>
    <w:p w14:paraId="2274705F" w14:textId="77777777" w:rsidR="002C52D7" w:rsidRPr="00537B40" w:rsidRDefault="002C52D7" w:rsidP="002C52D7">
      <w:pPr>
        <w:spacing w:line="240" w:lineRule="auto"/>
        <w:rPr>
          <w:b/>
          <w:szCs w:val="24"/>
          <w:lang w:val="en-GB"/>
        </w:rPr>
      </w:pPr>
    </w:p>
    <w:p w14:paraId="04D81460" w14:textId="218C17A8" w:rsidR="006C2CFD" w:rsidRPr="00537B40" w:rsidRDefault="006C2CFD" w:rsidP="002C52D7">
      <w:pPr>
        <w:rPr>
          <w:szCs w:val="24"/>
          <w:lang w:val="en-GB"/>
        </w:rPr>
      </w:pPr>
      <w:r w:rsidRPr="00537B40">
        <w:rPr>
          <w:szCs w:val="24"/>
          <w:lang w:val="en-GB"/>
        </w:rPr>
        <w:t xml:space="preserve">The ranking list including the evaluation of the titles will be published on the bulletin board of the Department and on the website: </w:t>
      </w:r>
      <w:r w:rsidR="007B4664" w:rsidRPr="00FD2238">
        <w:rPr>
          <w:lang w:val="en-US"/>
        </w:rPr>
        <w:t>https://phd.uniroma1.it/web/concorso37.aspx?s=&amp;i=3532&amp;m=&amp;l=IT&amp;p=&amp;a=</w:t>
      </w:r>
    </w:p>
    <w:p w14:paraId="07C25C63" w14:textId="5F6C19DC" w:rsidR="002C52D7" w:rsidRPr="00537B40" w:rsidRDefault="006C2CFD" w:rsidP="002C52D7">
      <w:pPr>
        <w:rPr>
          <w:b/>
          <w:bCs/>
          <w:iCs/>
          <w:szCs w:val="24"/>
          <w:lang w:val="en-GB"/>
        </w:rPr>
      </w:pPr>
      <w:r w:rsidRPr="00537B40">
        <w:rPr>
          <w:iCs/>
          <w:szCs w:val="24"/>
          <w:lang w:val="en-GB"/>
        </w:rPr>
        <w:t xml:space="preserve">within </w:t>
      </w:r>
      <w:r w:rsidR="0001355A">
        <w:rPr>
          <w:iCs/>
          <w:szCs w:val="24"/>
          <w:lang w:val="en-US"/>
        </w:rPr>
        <w:t>31</w:t>
      </w:r>
      <w:r w:rsidR="007B4664" w:rsidRPr="00FD2238">
        <w:rPr>
          <w:iCs/>
          <w:szCs w:val="24"/>
          <w:lang w:val="en-US"/>
        </w:rPr>
        <w:t xml:space="preserve"> </w:t>
      </w:r>
      <w:r w:rsidR="0001355A">
        <w:rPr>
          <w:iCs/>
          <w:szCs w:val="24"/>
          <w:lang w:val="en-US"/>
        </w:rPr>
        <w:t>Octo</w:t>
      </w:r>
      <w:r w:rsidR="007B4664" w:rsidRPr="00FD2238">
        <w:rPr>
          <w:iCs/>
          <w:szCs w:val="24"/>
          <w:lang w:val="en-US"/>
        </w:rPr>
        <w:t>ber 2021</w:t>
      </w:r>
    </w:p>
    <w:p w14:paraId="2C4E0400" w14:textId="721F2E99" w:rsidR="006C2CFD" w:rsidRPr="00537B40" w:rsidRDefault="006C2CFD" w:rsidP="002C52D7">
      <w:pPr>
        <w:rPr>
          <w:b/>
          <w:bCs/>
          <w:iCs/>
          <w:szCs w:val="24"/>
          <w:lang w:val="en-GB"/>
        </w:rPr>
      </w:pPr>
      <w:r w:rsidRPr="00537B40">
        <w:rPr>
          <w:iCs/>
          <w:szCs w:val="24"/>
          <w:lang w:val="en-GB"/>
        </w:rPr>
        <w:t xml:space="preserve">Candidates who have obtained </w:t>
      </w:r>
      <w:r w:rsidRPr="00537B40">
        <w:rPr>
          <w:b/>
          <w:bCs/>
          <w:iCs/>
          <w:szCs w:val="24"/>
          <w:lang w:val="en-GB"/>
        </w:rPr>
        <w:t xml:space="preserve">a score of at least 12/25 </w:t>
      </w:r>
      <w:r w:rsidRPr="00537B40">
        <w:rPr>
          <w:iCs/>
          <w:szCs w:val="24"/>
          <w:lang w:val="en-GB"/>
        </w:rPr>
        <w:t>in the evaluation of Titles</w:t>
      </w:r>
      <w:r w:rsidRPr="00537B40">
        <w:rPr>
          <w:b/>
          <w:bCs/>
          <w:iCs/>
          <w:szCs w:val="24"/>
          <w:lang w:val="en-GB"/>
        </w:rPr>
        <w:t xml:space="preserve"> will be admitted to the oral test.</w:t>
      </w:r>
    </w:p>
    <w:p w14:paraId="44E956FD" w14:textId="77777777" w:rsidR="002C52D7" w:rsidRPr="00537B40" w:rsidRDefault="002C52D7" w:rsidP="002C52D7">
      <w:pPr>
        <w:spacing w:after="0" w:line="240" w:lineRule="auto"/>
        <w:jc w:val="both"/>
        <w:rPr>
          <w:szCs w:val="24"/>
          <w:lang w:val="en-GB"/>
        </w:rPr>
      </w:pPr>
    </w:p>
    <w:p w14:paraId="46BB0485" w14:textId="01536942" w:rsidR="002C52D7" w:rsidRPr="00537B40" w:rsidRDefault="002C52D7" w:rsidP="002C52D7">
      <w:pPr>
        <w:spacing w:after="0" w:line="240" w:lineRule="auto"/>
        <w:ind w:left="284"/>
        <w:jc w:val="both"/>
        <w:rPr>
          <w:b/>
          <w:szCs w:val="24"/>
          <w:lang w:val="en-GB"/>
        </w:rPr>
      </w:pPr>
      <w:r w:rsidRPr="00537B40">
        <w:rPr>
          <w:b/>
          <w:szCs w:val="24"/>
          <w:lang w:val="en-GB"/>
        </w:rPr>
        <w:t xml:space="preserve">2. </w:t>
      </w:r>
      <w:r w:rsidR="00FA1175" w:rsidRPr="00537B40">
        <w:rPr>
          <w:b/>
          <w:szCs w:val="24"/>
          <w:lang w:val="en-GB"/>
        </w:rPr>
        <w:t>Oral exam</w:t>
      </w:r>
      <w:r w:rsidRPr="00537B40">
        <w:rPr>
          <w:b/>
          <w:szCs w:val="24"/>
          <w:lang w:val="en-GB"/>
        </w:rPr>
        <w:t xml:space="preserve"> (max 55 </w:t>
      </w:r>
      <w:r w:rsidR="00FA1175" w:rsidRPr="00537B40">
        <w:rPr>
          <w:b/>
          <w:szCs w:val="24"/>
          <w:lang w:val="en-GB"/>
        </w:rPr>
        <w:t>scores</w:t>
      </w:r>
      <w:r w:rsidRPr="00537B40">
        <w:rPr>
          <w:b/>
          <w:szCs w:val="24"/>
          <w:lang w:val="en-GB"/>
        </w:rPr>
        <w:t>)</w:t>
      </w:r>
    </w:p>
    <w:p w14:paraId="0FA94FA4" w14:textId="77777777" w:rsidR="002C52D7" w:rsidRPr="00537B40" w:rsidRDefault="002C52D7" w:rsidP="002C52D7">
      <w:pPr>
        <w:spacing w:after="0" w:line="240" w:lineRule="auto"/>
        <w:ind w:left="284"/>
        <w:jc w:val="both"/>
        <w:rPr>
          <w:b/>
          <w:szCs w:val="24"/>
          <w:lang w:val="en-GB"/>
        </w:rPr>
      </w:pPr>
    </w:p>
    <w:p w14:paraId="5176FF35" w14:textId="14E8FCA6" w:rsidR="00FA1175" w:rsidRPr="00537B40" w:rsidRDefault="00FA1175" w:rsidP="002C52D7">
      <w:pPr>
        <w:spacing w:line="240" w:lineRule="auto"/>
        <w:ind w:left="284"/>
        <w:jc w:val="both"/>
        <w:rPr>
          <w:b/>
          <w:bCs/>
          <w:szCs w:val="24"/>
          <w:lang w:val="en-GB"/>
        </w:rPr>
      </w:pPr>
      <w:r w:rsidRPr="00537B40">
        <w:rPr>
          <w:b/>
          <w:bCs/>
          <w:szCs w:val="24"/>
          <w:lang w:val="en-GB"/>
        </w:rPr>
        <w:t xml:space="preserve">The oral </w:t>
      </w:r>
      <w:r w:rsidR="00B1285D" w:rsidRPr="00537B40">
        <w:rPr>
          <w:b/>
          <w:bCs/>
          <w:szCs w:val="24"/>
          <w:lang w:val="en-GB"/>
        </w:rPr>
        <w:t>exam</w:t>
      </w:r>
      <w:r w:rsidR="00587946" w:rsidRPr="00537B40">
        <w:rPr>
          <w:b/>
          <w:bCs/>
          <w:szCs w:val="24"/>
          <w:lang w:val="en-GB"/>
        </w:rPr>
        <w:t xml:space="preserve">, in Italian or English at the candidate's choice, will take place on November </w:t>
      </w:r>
      <w:r w:rsidR="0001355A">
        <w:rPr>
          <w:b/>
          <w:bCs/>
          <w:szCs w:val="24"/>
          <w:lang w:val="en-GB"/>
        </w:rPr>
        <w:t>2</w:t>
      </w:r>
      <w:r w:rsidR="00587946" w:rsidRPr="00537B40">
        <w:rPr>
          <w:b/>
          <w:bCs/>
          <w:szCs w:val="24"/>
          <w:lang w:val="en-GB"/>
        </w:rPr>
        <w:t>, 2021 at 9:</w:t>
      </w:r>
      <w:r w:rsidR="00A44FAB">
        <w:rPr>
          <w:b/>
          <w:bCs/>
          <w:szCs w:val="24"/>
          <w:lang w:val="en-GB"/>
        </w:rPr>
        <w:t>3</w:t>
      </w:r>
      <w:r w:rsidR="00587946" w:rsidRPr="00537B40">
        <w:rPr>
          <w:b/>
          <w:bCs/>
          <w:szCs w:val="24"/>
          <w:lang w:val="en-GB"/>
        </w:rPr>
        <w:t>0 a.m., which may continue until the conclusion of the candidates by November 8, 2021</w:t>
      </w:r>
      <w:r w:rsidRPr="00537B40">
        <w:rPr>
          <w:b/>
          <w:bCs/>
          <w:szCs w:val="24"/>
          <w:lang w:val="en-GB"/>
        </w:rPr>
        <w:t xml:space="preserve"> and will focus on:</w:t>
      </w:r>
    </w:p>
    <w:p w14:paraId="6422575A" w14:textId="6463D35B" w:rsidR="00FA1175" w:rsidRPr="00537B40" w:rsidRDefault="00FA1175" w:rsidP="00FA1175">
      <w:pPr>
        <w:numPr>
          <w:ilvl w:val="0"/>
          <w:numId w:val="2"/>
        </w:numPr>
        <w:spacing w:after="200" w:line="240" w:lineRule="auto"/>
        <w:jc w:val="both"/>
        <w:rPr>
          <w:szCs w:val="24"/>
          <w:lang w:val="en-GB"/>
        </w:rPr>
      </w:pPr>
      <w:r w:rsidRPr="00537B40">
        <w:rPr>
          <w:szCs w:val="24"/>
          <w:lang w:val="en-GB"/>
        </w:rPr>
        <w:t xml:space="preserve">Presentation and "defense" of the selected projects, maximum 3 with an order of preference, in front of the entire commission. During the defense of the selected projects, the members of the commission will evaluate with particular attention: the skills of the candidate in the context of individual projects selected, any previous experience on specific issues, the description of the methodological </w:t>
      </w:r>
      <w:r w:rsidR="00430F99" w:rsidRPr="00537B40">
        <w:rPr>
          <w:szCs w:val="24"/>
          <w:lang w:val="en-GB"/>
        </w:rPr>
        <w:t>approach</w:t>
      </w:r>
      <w:r w:rsidRPr="00537B40">
        <w:rPr>
          <w:szCs w:val="24"/>
          <w:lang w:val="en-GB"/>
        </w:rPr>
        <w:t>, the innovativeness of the research and potential to achieve an advancement of knowledge compared to the state of the art in the field of reference, the consistency with the theme Green or Innovation.</w:t>
      </w:r>
    </w:p>
    <w:p w14:paraId="00F91405" w14:textId="21D42EA9" w:rsidR="00FA1175" w:rsidRPr="00537B40" w:rsidRDefault="00666449" w:rsidP="00FA1175">
      <w:pPr>
        <w:pStyle w:val="Paragrafoelenco"/>
        <w:numPr>
          <w:ilvl w:val="0"/>
          <w:numId w:val="2"/>
        </w:numPr>
        <w:spacing w:line="240" w:lineRule="auto"/>
        <w:jc w:val="both"/>
        <w:rPr>
          <w:szCs w:val="24"/>
          <w:lang w:val="en-GB"/>
        </w:rPr>
      </w:pPr>
      <w:r w:rsidRPr="00537B40">
        <w:rPr>
          <w:szCs w:val="24"/>
          <w:lang w:val="en-GB"/>
        </w:rPr>
        <w:t>Evaluation</w:t>
      </w:r>
      <w:r w:rsidR="00FA1175" w:rsidRPr="00537B40">
        <w:rPr>
          <w:szCs w:val="24"/>
          <w:lang w:val="en-GB"/>
        </w:rPr>
        <w:t xml:space="preserve"> of the candidate's knowledge on issues related to the selected projects and on broader issues inherent to the Doctoral program in Dynamic and Clinical Psychology.</w:t>
      </w:r>
    </w:p>
    <w:p w14:paraId="65480F90" w14:textId="77777777" w:rsidR="00FA1175" w:rsidRPr="00537B40" w:rsidRDefault="00FA1175" w:rsidP="00FA1175">
      <w:pPr>
        <w:spacing w:after="200" w:line="240" w:lineRule="auto"/>
        <w:ind w:left="1080"/>
        <w:jc w:val="both"/>
        <w:rPr>
          <w:szCs w:val="24"/>
          <w:lang w:val="en-GB"/>
        </w:rPr>
      </w:pPr>
    </w:p>
    <w:p w14:paraId="50AE71EE" w14:textId="21E20AD6" w:rsidR="009068D3" w:rsidRPr="00537B40" w:rsidRDefault="009B5CA4" w:rsidP="009B5CA4">
      <w:pPr>
        <w:spacing w:line="240" w:lineRule="auto"/>
        <w:ind w:left="284"/>
        <w:jc w:val="both"/>
        <w:rPr>
          <w:b/>
          <w:bCs/>
          <w:szCs w:val="24"/>
          <w:lang w:val="en-GB"/>
        </w:rPr>
      </w:pPr>
      <w:r w:rsidRPr="00537B40">
        <w:rPr>
          <w:b/>
          <w:bCs/>
          <w:szCs w:val="24"/>
          <w:lang w:val="en-GB"/>
        </w:rPr>
        <w:t xml:space="preserve">The minimum score to passed the oral test is </w:t>
      </w:r>
      <w:r w:rsidR="009068D3" w:rsidRPr="00537B40">
        <w:rPr>
          <w:b/>
          <w:bCs/>
          <w:szCs w:val="24"/>
          <w:lang w:val="en-GB"/>
        </w:rPr>
        <w:t>45/55.</w:t>
      </w:r>
    </w:p>
    <w:p w14:paraId="278B9E87" w14:textId="77777777" w:rsidR="009068D3" w:rsidRPr="00537B40" w:rsidRDefault="009068D3" w:rsidP="002C52D7">
      <w:pPr>
        <w:spacing w:after="0" w:line="240" w:lineRule="auto"/>
        <w:ind w:left="284"/>
        <w:jc w:val="both"/>
        <w:rPr>
          <w:b/>
          <w:szCs w:val="24"/>
          <w:lang w:val="en-GB"/>
        </w:rPr>
      </w:pPr>
      <w:r w:rsidRPr="00537B40">
        <w:rPr>
          <w:b/>
          <w:szCs w:val="24"/>
          <w:lang w:val="en-GB"/>
        </w:rPr>
        <w:t>The minimum overall score for admission to the Ph.D. program is 57/80.</w:t>
      </w:r>
    </w:p>
    <w:p w14:paraId="5DF209FE" w14:textId="77777777" w:rsidR="009068D3" w:rsidRPr="00537B40" w:rsidRDefault="009068D3" w:rsidP="002C52D7">
      <w:pPr>
        <w:spacing w:after="0" w:line="240" w:lineRule="auto"/>
        <w:ind w:left="284"/>
        <w:jc w:val="both"/>
        <w:rPr>
          <w:b/>
          <w:szCs w:val="24"/>
          <w:lang w:val="en-GB"/>
        </w:rPr>
      </w:pPr>
    </w:p>
    <w:p w14:paraId="037E7AF5" w14:textId="7E15B363" w:rsidR="009068D3" w:rsidRPr="00537B40" w:rsidRDefault="009068D3" w:rsidP="009068D3">
      <w:pPr>
        <w:spacing w:after="0" w:line="240" w:lineRule="auto"/>
        <w:ind w:left="284"/>
        <w:jc w:val="both"/>
        <w:rPr>
          <w:rStyle w:val="Enfasicorsivo"/>
          <w:i w:val="0"/>
          <w:szCs w:val="24"/>
          <w:lang w:val="en-GB"/>
        </w:rPr>
      </w:pPr>
      <w:r w:rsidRPr="00537B40">
        <w:rPr>
          <w:rStyle w:val="Enfasicorsivo"/>
          <w:i w:val="0"/>
          <w:szCs w:val="24"/>
          <w:u w:val="single"/>
          <w:lang w:val="en-GB"/>
        </w:rPr>
        <w:t xml:space="preserve">The oral exam will be held </w:t>
      </w:r>
      <w:r w:rsidR="00E31702" w:rsidRPr="00537B40">
        <w:rPr>
          <w:rStyle w:val="Enfasicorsivo"/>
          <w:i w:val="0"/>
          <w:szCs w:val="24"/>
          <w:u w:val="single"/>
          <w:lang w:val="en-GB"/>
        </w:rPr>
        <w:t xml:space="preserve">starting </w:t>
      </w:r>
      <w:r w:rsidRPr="00537B40">
        <w:rPr>
          <w:rStyle w:val="Enfasicorsivo"/>
          <w:i w:val="0"/>
          <w:szCs w:val="24"/>
          <w:u w:val="single"/>
          <w:lang w:val="en-GB"/>
        </w:rPr>
        <w:t xml:space="preserve">on </w:t>
      </w:r>
      <w:r w:rsidR="00E31702" w:rsidRPr="00537B40">
        <w:rPr>
          <w:rStyle w:val="Enfasicorsivo"/>
          <w:i w:val="0"/>
          <w:szCs w:val="24"/>
          <w:u w:val="single"/>
          <w:lang w:val="en-GB"/>
        </w:rPr>
        <w:t xml:space="preserve">November </w:t>
      </w:r>
      <w:r w:rsidR="0001355A">
        <w:rPr>
          <w:rStyle w:val="Enfasicorsivo"/>
          <w:i w:val="0"/>
          <w:szCs w:val="24"/>
          <w:u w:val="single"/>
          <w:lang w:val="en-GB"/>
        </w:rPr>
        <w:t>2</w:t>
      </w:r>
      <w:r w:rsidR="00E31702" w:rsidRPr="00537B40">
        <w:rPr>
          <w:rStyle w:val="Enfasicorsivo"/>
          <w:i w:val="0"/>
          <w:szCs w:val="24"/>
          <w:u w:val="single"/>
          <w:lang w:val="en-GB"/>
        </w:rPr>
        <w:t>, 2021 at 9:</w:t>
      </w:r>
      <w:r w:rsidR="00A44FAB">
        <w:rPr>
          <w:rStyle w:val="Enfasicorsivo"/>
          <w:i w:val="0"/>
          <w:szCs w:val="24"/>
          <w:u w:val="single"/>
          <w:lang w:val="en-GB"/>
        </w:rPr>
        <w:t>3</w:t>
      </w:r>
      <w:r w:rsidR="00E31702" w:rsidRPr="00537B40">
        <w:rPr>
          <w:rStyle w:val="Enfasicorsivo"/>
          <w:i w:val="0"/>
          <w:szCs w:val="24"/>
          <w:u w:val="single"/>
          <w:lang w:val="en-GB"/>
        </w:rPr>
        <w:t xml:space="preserve">0 a.m  </w:t>
      </w:r>
      <w:r w:rsidRPr="00537B40">
        <w:rPr>
          <w:rStyle w:val="Enfasicorsivo"/>
          <w:i w:val="0"/>
          <w:szCs w:val="24"/>
          <w:lang w:val="en-GB"/>
        </w:rPr>
        <w:t>at the “</w:t>
      </w:r>
      <w:r w:rsidR="00E31702" w:rsidRPr="00537B40">
        <w:rPr>
          <w:rStyle w:val="Enfasicorsivo"/>
          <w:i w:val="0"/>
          <w:szCs w:val="24"/>
          <w:lang w:val="en-GB"/>
        </w:rPr>
        <w:t>Room</w:t>
      </w:r>
      <w:r w:rsidR="000C4AD5" w:rsidRPr="00537B40">
        <w:rPr>
          <w:rStyle w:val="Enfasicorsivo"/>
          <w:i w:val="0"/>
          <w:szCs w:val="24"/>
          <w:lang w:val="en-GB"/>
        </w:rPr>
        <w:t xml:space="preserve"> 7</w:t>
      </w:r>
      <w:r w:rsidRPr="00537B40">
        <w:rPr>
          <w:rStyle w:val="Enfasicorsivo"/>
          <w:i w:val="0"/>
          <w:szCs w:val="24"/>
          <w:lang w:val="en-GB"/>
        </w:rPr>
        <w:t>” of the Department of Dynamic and Clinical Psychology, and Health Studies</w:t>
      </w:r>
      <w:r w:rsidR="00E31702" w:rsidRPr="00537B40">
        <w:rPr>
          <w:rStyle w:val="Enfasicorsivo"/>
          <w:i w:val="0"/>
          <w:szCs w:val="24"/>
          <w:lang w:val="en-GB"/>
        </w:rPr>
        <w:t>,</w:t>
      </w:r>
      <w:r w:rsidRPr="00537B40">
        <w:rPr>
          <w:rStyle w:val="Enfasicorsivo"/>
          <w:i w:val="0"/>
          <w:szCs w:val="24"/>
          <w:lang w:val="en-GB"/>
        </w:rPr>
        <w:t xml:space="preserve"> Address: Via degli Apuli 1, 00185 Roma</w:t>
      </w:r>
      <w:r w:rsidR="00E31702" w:rsidRPr="00537B40">
        <w:rPr>
          <w:rStyle w:val="Enfasicorsivo"/>
          <w:i w:val="0"/>
          <w:szCs w:val="24"/>
          <w:lang w:val="en-GB"/>
        </w:rPr>
        <w:t>.</w:t>
      </w:r>
    </w:p>
    <w:p w14:paraId="48B56854" w14:textId="75A4928F" w:rsidR="009068D3" w:rsidRPr="00537B40" w:rsidRDefault="009068D3" w:rsidP="009068D3">
      <w:pPr>
        <w:spacing w:after="0" w:line="240" w:lineRule="auto"/>
        <w:ind w:left="284"/>
        <w:jc w:val="both"/>
        <w:rPr>
          <w:rStyle w:val="Enfasicorsivo"/>
          <w:i w:val="0"/>
          <w:szCs w:val="24"/>
          <w:lang w:val="en-GB"/>
        </w:rPr>
      </w:pPr>
      <w:r w:rsidRPr="00537B40">
        <w:rPr>
          <w:rStyle w:val="Enfasicorsivo"/>
          <w:i w:val="0"/>
          <w:szCs w:val="24"/>
          <w:lang w:val="en-GB"/>
        </w:rPr>
        <w:t>The final ranking will be published on the site:</w:t>
      </w:r>
    </w:p>
    <w:p w14:paraId="45977DB2" w14:textId="5FBDF858" w:rsidR="009068D3" w:rsidRPr="00537B40" w:rsidRDefault="009068D3" w:rsidP="009068D3">
      <w:pPr>
        <w:spacing w:after="0" w:line="240" w:lineRule="auto"/>
        <w:ind w:left="284"/>
        <w:jc w:val="both"/>
        <w:rPr>
          <w:rStyle w:val="Enfasicorsivo"/>
          <w:i w:val="0"/>
          <w:szCs w:val="24"/>
          <w:lang w:val="en-GB"/>
        </w:rPr>
      </w:pPr>
    </w:p>
    <w:p w14:paraId="223FC7FD" w14:textId="77777777" w:rsidR="00E31702" w:rsidRPr="00537B40" w:rsidRDefault="00E31702" w:rsidP="002C52D7">
      <w:pPr>
        <w:spacing w:after="0" w:line="240" w:lineRule="auto"/>
        <w:ind w:left="284"/>
        <w:jc w:val="both"/>
        <w:rPr>
          <w:iCs/>
          <w:szCs w:val="24"/>
        </w:rPr>
      </w:pPr>
      <w:r w:rsidRPr="00537B40">
        <w:rPr>
          <w:iCs/>
          <w:szCs w:val="24"/>
        </w:rPr>
        <w:t xml:space="preserve">sito internet: </w:t>
      </w:r>
    </w:p>
    <w:p w14:paraId="562BECDC" w14:textId="29D66DD2" w:rsidR="009068D3" w:rsidRPr="00FD2238" w:rsidRDefault="00E31702" w:rsidP="002C52D7">
      <w:pPr>
        <w:spacing w:after="0" w:line="240" w:lineRule="auto"/>
        <w:ind w:left="284"/>
        <w:jc w:val="both"/>
        <w:rPr>
          <w:rStyle w:val="Enfasicorsivo"/>
          <w:i w:val="0"/>
          <w:szCs w:val="24"/>
          <w:u w:val="single"/>
        </w:rPr>
      </w:pPr>
      <w:r w:rsidRPr="00537B40">
        <w:rPr>
          <w:iCs/>
          <w:szCs w:val="24"/>
        </w:rPr>
        <w:t>https://phd.uniroma1.it/web/concorso37.aspx?s=&amp;i=3532&amp;m=&amp;l=IT&amp;p=&amp;a=</w:t>
      </w:r>
    </w:p>
    <w:p w14:paraId="5550C14D" w14:textId="161485C3" w:rsidR="00244B8F" w:rsidRPr="00FD2238" w:rsidRDefault="00244B8F" w:rsidP="002C52D7">
      <w:pPr>
        <w:spacing w:after="0" w:line="240" w:lineRule="auto"/>
        <w:ind w:left="284"/>
        <w:jc w:val="both"/>
        <w:rPr>
          <w:rStyle w:val="Enfasicorsivo"/>
          <w:i w:val="0"/>
          <w:szCs w:val="24"/>
          <w:u w:val="single"/>
        </w:rPr>
      </w:pPr>
    </w:p>
    <w:p w14:paraId="2C5C34B3" w14:textId="0BEC02D1" w:rsidR="00244B8F" w:rsidRPr="00537B40" w:rsidRDefault="00244B8F" w:rsidP="002C52D7">
      <w:pPr>
        <w:spacing w:after="0" w:line="240" w:lineRule="auto"/>
        <w:ind w:left="284"/>
        <w:jc w:val="both"/>
        <w:rPr>
          <w:rStyle w:val="Enfasicorsivo"/>
          <w:i w:val="0"/>
          <w:szCs w:val="24"/>
          <w:lang w:val="en-GB"/>
        </w:rPr>
      </w:pPr>
      <w:r w:rsidRPr="00537B40">
        <w:rPr>
          <w:rStyle w:val="Enfasicorsivo"/>
          <w:i w:val="0"/>
          <w:szCs w:val="24"/>
          <w:lang w:val="en-GB"/>
        </w:rPr>
        <w:t xml:space="preserve">within </w:t>
      </w:r>
      <w:r w:rsidR="00537B40" w:rsidRPr="00537B40">
        <w:rPr>
          <w:rStyle w:val="Enfasicorsivo"/>
          <w:i w:val="0"/>
          <w:szCs w:val="24"/>
          <w:lang w:val="en-GB"/>
        </w:rPr>
        <w:t>9 November 2021</w:t>
      </w:r>
    </w:p>
    <w:p w14:paraId="721CFD0B" w14:textId="77777777" w:rsidR="009068D3" w:rsidRPr="00537B40" w:rsidRDefault="009068D3" w:rsidP="002C52D7">
      <w:pPr>
        <w:spacing w:after="0" w:line="240" w:lineRule="auto"/>
        <w:ind w:left="284"/>
        <w:jc w:val="both"/>
        <w:rPr>
          <w:rStyle w:val="Enfasicorsivo"/>
          <w:i w:val="0"/>
          <w:szCs w:val="24"/>
          <w:u w:val="single"/>
          <w:lang w:val="en-GB"/>
        </w:rPr>
      </w:pPr>
    </w:p>
    <w:p w14:paraId="581D01C3" w14:textId="6FCFECB7" w:rsidR="002C52D7" w:rsidRPr="00537B40" w:rsidRDefault="002C52D7" w:rsidP="002C52D7">
      <w:pPr>
        <w:spacing w:after="0" w:line="240" w:lineRule="auto"/>
        <w:ind w:left="284"/>
        <w:jc w:val="both"/>
        <w:rPr>
          <w:rStyle w:val="Enfasicorsivo"/>
          <w:i w:val="0"/>
          <w:szCs w:val="24"/>
          <w:lang w:val="en-GB"/>
        </w:rPr>
      </w:pPr>
    </w:p>
    <w:p w14:paraId="2AA98694" w14:textId="77777777" w:rsidR="00244B8F" w:rsidRPr="00537B40" w:rsidRDefault="00244B8F" w:rsidP="002C52D7">
      <w:pPr>
        <w:spacing w:after="0" w:line="240" w:lineRule="auto"/>
        <w:ind w:left="284"/>
        <w:jc w:val="both"/>
        <w:rPr>
          <w:rStyle w:val="Enfasicorsivo"/>
          <w:i w:val="0"/>
          <w:szCs w:val="24"/>
          <w:lang w:val="en-GB"/>
        </w:rPr>
      </w:pPr>
    </w:p>
    <w:p w14:paraId="3C28C103" w14:textId="77777777" w:rsidR="00244B8F" w:rsidRPr="00537B40" w:rsidRDefault="00244B8F" w:rsidP="002C52D7">
      <w:pPr>
        <w:spacing w:after="0" w:line="240" w:lineRule="auto"/>
        <w:ind w:left="284"/>
        <w:jc w:val="both"/>
        <w:rPr>
          <w:rStyle w:val="Enfasicorsivo"/>
          <w:i w:val="0"/>
          <w:szCs w:val="24"/>
          <w:lang w:val="en-GB"/>
        </w:rPr>
      </w:pPr>
      <w:r w:rsidRPr="00537B40">
        <w:rPr>
          <w:rStyle w:val="Enfasicorsivo"/>
          <w:i w:val="0"/>
          <w:szCs w:val="24"/>
          <w:lang w:val="en-GB"/>
        </w:rPr>
        <w:t>Contact information</w:t>
      </w:r>
    </w:p>
    <w:p w14:paraId="69A62C7D" w14:textId="77777777" w:rsidR="00244B8F" w:rsidRPr="00537B40" w:rsidRDefault="00244B8F" w:rsidP="002C52D7">
      <w:pPr>
        <w:spacing w:after="0" w:line="240" w:lineRule="auto"/>
        <w:ind w:left="284"/>
        <w:jc w:val="both"/>
        <w:rPr>
          <w:rStyle w:val="Enfasicorsivo"/>
          <w:i w:val="0"/>
          <w:szCs w:val="24"/>
          <w:lang w:val="en-GB"/>
        </w:rPr>
      </w:pPr>
      <w:bookmarkStart w:id="0" w:name="_Hlk84242866"/>
      <w:r w:rsidRPr="00FD2238">
        <w:rPr>
          <w:lang w:val="en-US"/>
        </w:rPr>
        <w:t>0649917906</w:t>
      </w:r>
      <w:bookmarkEnd w:id="0"/>
      <w:r w:rsidR="002C52D7" w:rsidRPr="00537B40">
        <w:rPr>
          <w:rStyle w:val="Enfasicorsivo"/>
          <w:i w:val="0"/>
          <w:szCs w:val="24"/>
          <w:lang w:val="en-GB"/>
        </w:rPr>
        <w:t xml:space="preserve"> </w:t>
      </w:r>
    </w:p>
    <w:p w14:paraId="6BD9796B" w14:textId="018484F6" w:rsidR="002C52D7" w:rsidRPr="002C52D7" w:rsidRDefault="002C52D7" w:rsidP="002C52D7">
      <w:pPr>
        <w:spacing w:after="0" w:line="240" w:lineRule="auto"/>
        <w:ind w:left="284"/>
        <w:jc w:val="both"/>
        <w:rPr>
          <w:rStyle w:val="Enfasicorsivo"/>
          <w:i w:val="0"/>
          <w:szCs w:val="24"/>
          <w:lang w:val="en-GB"/>
        </w:rPr>
      </w:pPr>
      <w:r w:rsidRPr="00537B40">
        <w:rPr>
          <w:rStyle w:val="Enfasicorsivo"/>
          <w:i w:val="0"/>
          <w:szCs w:val="24"/>
          <w:lang w:val="en-GB"/>
        </w:rPr>
        <w:t xml:space="preserve">email: </w:t>
      </w:r>
      <w:bookmarkStart w:id="1" w:name="_Hlk84242849"/>
      <w:r w:rsidR="00244B8F" w:rsidRPr="00FD2238">
        <w:rPr>
          <w:lang w:val="en-US"/>
        </w:rPr>
        <w:t>carlo.lai@uniroma1.it</w:t>
      </w:r>
      <w:r w:rsidR="00537B40" w:rsidRPr="00FD2238">
        <w:rPr>
          <w:lang w:val="en-US"/>
        </w:rPr>
        <w:t>; giulia.corazza@uniroma1.it</w:t>
      </w:r>
    </w:p>
    <w:bookmarkEnd w:id="1"/>
    <w:p w14:paraId="3593ECFE" w14:textId="59CDA9E5" w:rsidR="00D0723B" w:rsidRDefault="00D0723B" w:rsidP="00D049FA">
      <w:pPr>
        <w:rPr>
          <w:lang w:val="en-GB"/>
        </w:rPr>
      </w:pPr>
    </w:p>
    <w:p w14:paraId="41FB8AEF" w14:textId="77777777" w:rsidR="00D60A28" w:rsidRPr="002C52D7" w:rsidRDefault="00D60A28" w:rsidP="00D049FA">
      <w:pPr>
        <w:rPr>
          <w:lang w:val="en-GB"/>
        </w:rPr>
      </w:pPr>
    </w:p>
    <w:sectPr w:rsidR="00D60A28" w:rsidRPr="002C52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85E10"/>
    <w:multiLevelType w:val="hybridMultilevel"/>
    <w:tmpl w:val="FAD6737C"/>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A3786A"/>
    <w:multiLevelType w:val="hybridMultilevel"/>
    <w:tmpl w:val="BDAE71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FA"/>
    <w:rsid w:val="0001355A"/>
    <w:rsid w:val="000C4AD5"/>
    <w:rsid w:val="001457C6"/>
    <w:rsid w:val="001562FE"/>
    <w:rsid w:val="00172FCF"/>
    <w:rsid w:val="00244B8F"/>
    <w:rsid w:val="002C52D7"/>
    <w:rsid w:val="00430F99"/>
    <w:rsid w:val="00537B40"/>
    <w:rsid w:val="00587946"/>
    <w:rsid w:val="00666449"/>
    <w:rsid w:val="006C2CFD"/>
    <w:rsid w:val="007B4664"/>
    <w:rsid w:val="0086069B"/>
    <w:rsid w:val="009068D3"/>
    <w:rsid w:val="00943292"/>
    <w:rsid w:val="009B5CA4"/>
    <w:rsid w:val="00A44FAB"/>
    <w:rsid w:val="00A57BF9"/>
    <w:rsid w:val="00B1285D"/>
    <w:rsid w:val="00BA09FF"/>
    <w:rsid w:val="00D049FA"/>
    <w:rsid w:val="00D0723B"/>
    <w:rsid w:val="00D60A28"/>
    <w:rsid w:val="00E31702"/>
    <w:rsid w:val="00FA1175"/>
    <w:rsid w:val="00FD22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A877"/>
  <w15:chartTrackingRefBased/>
  <w15:docId w15:val="{694C2569-FBB4-4005-B2DC-542B14DB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49FA"/>
    <w:pPr>
      <w:ind w:left="720"/>
      <w:contextualSpacing/>
    </w:pPr>
  </w:style>
  <w:style w:type="character" w:styleId="Enfasicorsivo">
    <w:name w:val="Emphasis"/>
    <w:basedOn w:val="Carpredefinitoparagrafo"/>
    <w:uiPriority w:val="20"/>
    <w:qFormat/>
    <w:rsid w:val="002C52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487</Words>
  <Characters>2778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Carlo Lai</cp:lastModifiedBy>
  <cp:revision>15</cp:revision>
  <dcterms:created xsi:type="dcterms:W3CDTF">2021-10-04T08:56:00Z</dcterms:created>
  <dcterms:modified xsi:type="dcterms:W3CDTF">2021-10-04T13:06:00Z</dcterms:modified>
</cp:coreProperties>
</file>