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4BA3" w14:textId="3604F311" w:rsidR="00CF2681" w:rsidRPr="00C21399" w:rsidRDefault="007D34D0">
      <w:pPr>
        <w:rPr>
          <w:rFonts w:ascii="Arial" w:hAnsi="Arial" w:cs="Arial"/>
          <w:sz w:val="40"/>
          <w:szCs w:val="40"/>
          <w:lang w:val="it-IT"/>
        </w:rPr>
      </w:pPr>
      <w:r w:rsidRPr="00133A72">
        <w:rPr>
          <w:rFonts w:ascii="Arial" w:hAnsi="Arial" w:cs="Arial"/>
          <w:sz w:val="40"/>
          <w:szCs w:val="40"/>
          <w:lang w:val="it-IT"/>
        </w:rPr>
        <w:t>Esempio di 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 w:rsidR="00004A9B">
        <w:rPr>
          <w:rFonts w:ascii="Arial" w:hAnsi="Arial" w:cs="Arial"/>
          <w:sz w:val="40"/>
          <w:szCs w:val="40"/>
          <w:lang w:val="it-IT"/>
        </w:rPr>
        <w:t>Studi di in Letterature, Lingua e Traduzione Inglese (37°</w:t>
      </w:r>
      <w:bookmarkStart w:id="0" w:name="_GoBack"/>
      <w:bookmarkEnd w:id="0"/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6C036F20" w14:textId="77777777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5ACB0055" w14:textId="77777777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(max 1</w:t>
      </w:r>
      <w:r w:rsidR="005D24B0" w:rsidRPr="00B768D5">
        <w:rPr>
          <w:rFonts w:ascii="Arial" w:hAnsi="Arial" w:cs="Arial"/>
          <w:b/>
          <w:sz w:val="24"/>
          <w:szCs w:val="24"/>
          <w:lang w:val="it-IT"/>
        </w:rPr>
        <w:t>5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38D89153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max 5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14:paraId="14595E99" w14:textId="77777777" w:rsidTr="00C21399">
        <w:tc>
          <w:tcPr>
            <w:tcW w:w="1951" w:type="dxa"/>
          </w:tcPr>
          <w:p w14:paraId="674BEBD3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66A2F336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14:paraId="03313519" w14:textId="77777777" w:rsidTr="00C21399">
        <w:tc>
          <w:tcPr>
            <w:tcW w:w="1951" w:type="dxa"/>
          </w:tcPr>
          <w:p w14:paraId="438ED059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14:paraId="58DBCC15" w14:textId="7C9AF397" w:rsidR="00C21399" w:rsidRDefault="00A77A7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6F73C14A" w14:textId="77777777" w:rsidTr="00C21399">
        <w:tc>
          <w:tcPr>
            <w:tcW w:w="1951" w:type="dxa"/>
          </w:tcPr>
          <w:p w14:paraId="11CEB00A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14:paraId="41442CB4" w14:textId="5F7FEC7A" w:rsidR="00C21399" w:rsidRDefault="00A77A7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14:paraId="29851A0A" w14:textId="77777777" w:rsidTr="00C21399">
        <w:tc>
          <w:tcPr>
            <w:tcW w:w="1951" w:type="dxa"/>
          </w:tcPr>
          <w:p w14:paraId="46CB3429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14:paraId="7C9CE188" w14:textId="499FF1A4" w:rsidR="00C21399" w:rsidRDefault="00A77A7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14:paraId="43A26C36" w14:textId="77777777" w:rsidTr="00C21399">
        <w:tc>
          <w:tcPr>
            <w:tcW w:w="1951" w:type="dxa"/>
          </w:tcPr>
          <w:p w14:paraId="7244C061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14:paraId="529545C5" w14:textId="1805FAF2" w:rsidR="00C21399" w:rsidRDefault="00A77A7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5D312246" w14:textId="77777777" w:rsidTr="00C21399">
        <w:tc>
          <w:tcPr>
            <w:tcW w:w="1951" w:type="dxa"/>
          </w:tcPr>
          <w:p w14:paraId="491E1EB2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14:paraId="238C6CA8" w14:textId="3878CBA3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A77A76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14:paraId="1B8279C1" w14:textId="77777777" w:rsidTr="00C21399">
        <w:tc>
          <w:tcPr>
            <w:tcW w:w="1951" w:type="dxa"/>
          </w:tcPr>
          <w:p w14:paraId="40FCCEF1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14:paraId="3D9BC287" w14:textId="0D290F20" w:rsidR="00C21399" w:rsidRDefault="00A77A76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7785AA3D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5DE0F127" w14:textId="4E5060B6"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prima del 3</w:t>
      </w:r>
      <w:r w:rsidR="00133A72" w:rsidRPr="00A5580A">
        <w:rPr>
          <w:rFonts w:ascii="Arial" w:hAnsi="Arial" w:cs="Arial"/>
          <w:sz w:val="24"/>
          <w:szCs w:val="24"/>
          <w:lang w:val="it-IT"/>
        </w:rPr>
        <w:t>1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ottobre </w:t>
      </w:r>
      <w:r w:rsidR="00A77A76">
        <w:rPr>
          <w:rFonts w:ascii="Arial" w:hAnsi="Arial" w:cs="Arial"/>
          <w:sz w:val="24"/>
          <w:szCs w:val="24"/>
          <w:lang w:val="it-IT"/>
        </w:rPr>
        <w:t>2021,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14:paraId="6364EA81" w14:textId="77777777" w:rsidTr="003F7976">
        <w:tc>
          <w:tcPr>
            <w:tcW w:w="2093" w:type="dxa"/>
          </w:tcPr>
          <w:p w14:paraId="19903CE9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4D7D8505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A5580A" w14:paraId="60587079" w14:textId="77777777" w:rsidTr="003F7976">
        <w:tc>
          <w:tcPr>
            <w:tcW w:w="2093" w:type="dxa"/>
          </w:tcPr>
          <w:p w14:paraId="318540F7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14:paraId="6019FEFF" w14:textId="7B35E91B" w:rsidR="003F7976" w:rsidRDefault="00A77A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A5580A" w14:paraId="3274F258" w14:textId="77777777" w:rsidTr="003F7976">
        <w:tc>
          <w:tcPr>
            <w:tcW w:w="2093" w:type="dxa"/>
          </w:tcPr>
          <w:p w14:paraId="3BDFCB1E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14:paraId="13800CBA" w14:textId="5E3CB0A2" w:rsidR="003F7976" w:rsidRDefault="00A77A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14:paraId="55390FC1" w14:textId="77777777" w:rsidTr="003F7976">
        <w:tc>
          <w:tcPr>
            <w:tcW w:w="2093" w:type="dxa"/>
          </w:tcPr>
          <w:p w14:paraId="4B81EB57" w14:textId="77777777"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14:paraId="522E4C7C" w14:textId="5951328F" w:rsidR="003F7976" w:rsidRDefault="00A77A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A5580A" w14:paraId="04452738" w14:textId="77777777" w:rsidTr="003F7976">
        <w:tc>
          <w:tcPr>
            <w:tcW w:w="2093" w:type="dxa"/>
          </w:tcPr>
          <w:p w14:paraId="091E4FBC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14:paraId="6AE592FF" w14:textId="1B0D6D85" w:rsidR="003F7976" w:rsidRDefault="00A77A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14:paraId="11B7BC59" w14:textId="77777777" w:rsidTr="003F7976">
        <w:tc>
          <w:tcPr>
            <w:tcW w:w="2093" w:type="dxa"/>
          </w:tcPr>
          <w:p w14:paraId="6BFE3614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14:paraId="126D99F3" w14:textId="6D2F4B6C" w:rsidR="003F7976" w:rsidRDefault="00A77A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A5580A" w14:paraId="39A59B53" w14:textId="77777777" w:rsidTr="003F7976">
        <w:tc>
          <w:tcPr>
            <w:tcW w:w="2093" w:type="dxa"/>
          </w:tcPr>
          <w:p w14:paraId="50C1573B" w14:textId="77777777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243C556A" w14:textId="4A6D72B5" w:rsidR="003F7976" w:rsidRDefault="00A77A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3F9F75B5" w14:textId="77777777" w:rsidR="00700E61" w:rsidRDefault="00700E61">
      <w:pPr>
        <w:rPr>
          <w:rFonts w:ascii="Arial" w:hAnsi="Arial" w:cs="Arial"/>
          <w:sz w:val="24"/>
          <w:szCs w:val="24"/>
          <w:lang w:val="it-IT"/>
        </w:rPr>
      </w:pPr>
    </w:p>
    <w:p w14:paraId="63736CE1" w14:textId="77777777" w:rsidR="00C21399" w:rsidRPr="00B768D5" w:rsidRDefault="00DB6E8D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2.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Progetto (max </w:t>
      </w:r>
      <w:r w:rsidR="0087659C" w:rsidRPr="00B768D5">
        <w:rPr>
          <w:rFonts w:ascii="Arial" w:hAnsi="Arial" w:cs="Arial"/>
          <w:b/>
          <w:sz w:val="24"/>
          <w:szCs w:val="24"/>
          <w:lang w:val="it-IT"/>
        </w:rPr>
        <w:t>45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5E24E28E" w14:textId="77777777" w:rsidR="00BA0E5F" w:rsidRDefault="00BA0E5F" w:rsidP="00133A72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>
        <w:rPr>
          <w:rFonts w:ascii="Arial" w:hAnsi="Arial" w:cs="Arial"/>
          <w:sz w:val="24"/>
          <w:szCs w:val="24"/>
          <w:lang w:val="it-IT"/>
        </w:rPr>
        <w:t xml:space="preserve">di </w:t>
      </w:r>
      <w:r>
        <w:rPr>
          <w:rFonts w:ascii="Arial" w:hAnsi="Arial" w:cs="Arial"/>
          <w:sz w:val="24"/>
          <w:szCs w:val="24"/>
          <w:lang w:val="it-IT"/>
        </w:rPr>
        <w:t>organizzare in autonomia le diverse fasi del progetto</w:t>
      </w:r>
      <w:r w:rsidR="00133A72">
        <w:rPr>
          <w:rFonts w:ascii="Arial" w:hAnsi="Arial" w:cs="Arial"/>
          <w:sz w:val="24"/>
          <w:szCs w:val="24"/>
          <w:lang w:val="it-IT"/>
        </w:rPr>
        <w:t xml:space="preserve"> che </w:t>
      </w:r>
      <w:r>
        <w:rPr>
          <w:rFonts w:ascii="Arial" w:hAnsi="Arial" w:cs="Arial"/>
          <w:sz w:val="24"/>
          <w:szCs w:val="24"/>
          <w:lang w:val="it-IT"/>
        </w:rPr>
        <w:t>non dovrà superare la lunghezza massima di 8000 caratteri (spazi inclusi).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133A72">
        <w:rPr>
          <w:rFonts w:ascii="Arial" w:hAnsi="Arial" w:cs="Arial"/>
          <w:sz w:val="24"/>
          <w:szCs w:val="24"/>
          <w:lang w:val="it-IT"/>
        </w:rPr>
        <w:t>Tale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progetto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presentato ai fini concorsuali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non costituisce obbligo, per i candidati ammessi, </w:t>
      </w:r>
      <w:r w:rsidR="00133A72">
        <w:rPr>
          <w:rFonts w:ascii="Arial" w:hAnsi="Arial" w:cs="Arial"/>
          <w:sz w:val="24"/>
          <w:szCs w:val="24"/>
          <w:lang w:val="it-IT"/>
        </w:rPr>
        <w:t>a</w:t>
      </w:r>
      <w:r w:rsidR="005D24B0">
        <w:rPr>
          <w:rFonts w:ascii="Arial" w:hAnsi="Arial" w:cs="Arial"/>
          <w:sz w:val="24"/>
          <w:szCs w:val="24"/>
          <w:lang w:val="it-IT"/>
        </w:rPr>
        <w:t xml:space="preserve">llo svolgimento dell’attività di ricerca nel corso del dottorato. </w:t>
      </w:r>
    </w:p>
    <w:p w14:paraId="4814543A" w14:textId="77777777" w:rsidR="00BA0E5F" w:rsidRDefault="00BA0E5F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14:paraId="4EF00B76" w14:textId="77777777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(10 punti) </w:t>
      </w:r>
    </w:p>
    <w:p w14:paraId="69F49843" w14:textId="77777777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(10 punti)</w:t>
      </w:r>
    </w:p>
    <w:p w14:paraId="67823FD8" w14:textId="77777777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(10 punti)</w:t>
      </w:r>
    </w:p>
    <w:p w14:paraId="0AD824D4" w14:textId="77777777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lastRenderedPageBreak/>
        <w:t>Fattibilità del progetto (10 punti)</w:t>
      </w:r>
    </w:p>
    <w:p w14:paraId="210986F3" w14:textId="77777777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Pertinenza del progetto con gli obie</w:t>
      </w:r>
      <w:r w:rsidR="0087659C" w:rsidRPr="0022267D">
        <w:rPr>
          <w:rFonts w:ascii="Arial" w:hAnsi="Arial" w:cs="Arial"/>
          <w:sz w:val="24"/>
          <w:szCs w:val="24"/>
          <w:lang w:val="it-IT"/>
        </w:rPr>
        <w:t>ttivi formativi del dottorato (5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058AD905" w14:textId="77777777" w:rsidR="006F76E7" w:rsidRDefault="006F76E7">
      <w:pPr>
        <w:rPr>
          <w:rFonts w:ascii="Arial" w:hAnsi="Arial" w:cs="Arial"/>
          <w:b/>
          <w:sz w:val="24"/>
          <w:szCs w:val="24"/>
          <w:lang w:val="it-IT"/>
        </w:rPr>
      </w:pPr>
    </w:p>
    <w:p w14:paraId="3AB445E5" w14:textId="6AEA7C2A" w:rsidR="0087659C" w:rsidRPr="00AD4445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3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Prova Scritta 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>(</w:t>
      </w:r>
      <w:r w:rsidR="00A77A76">
        <w:rPr>
          <w:rFonts w:ascii="Arial" w:hAnsi="Arial" w:cs="Arial"/>
          <w:b/>
          <w:sz w:val="24"/>
          <w:szCs w:val="24"/>
          <w:lang w:val="it-IT"/>
        </w:rPr>
        <w:t xml:space="preserve">max 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>60 punti)</w:t>
      </w:r>
    </w:p>
    <w:p w14:paraId="30EA3B0F" w14:textId="77777777" w:rsidR="006F76E7" w:rsidRDefault="006F76E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Alla prova scritta vengono ammessi i candidati che nel complesso della valutazione dei titoli e del progetto abbiano conseguito la votazione di almeno 40/60.</w:t>
      </w:r>
    </w:p>
    <w:p w14:paraId="24E87243" w14:textId="77777777" w:rsidR="0022267D" w:rsidRDefault="0022267D" w:rsidP="0022267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14:paraId="04743695" w14:textId="77777777"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Conoscenza e competenza della tematica oggetto della prova (20 punti)</w:t>
      </w:r>
    </w:p>
    <w:p w14:paraId="795E951E" w14:textId="77777777"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Capacità e chiarezza nell’elaborazione (20 punti)</w:t>
      </w:r>
    </w:p>
    <w:p w14:paraId="3C8B996F" w14:textId="77777777" w:rsidR="0087659C" w:rsidRPr="0022267D" w:rsidRDefault="0087659C" w:rsidP="0022267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Completezza descrittiva e recenti acquisizioni sul tema oggetto della prova (20 punti)</w:t>
      </w:r>
    </w:p>
    <w:p w14:paraId="528A02C7" w14:textId="61F14D3A" w:rsidR="00C21399" w:rsidRPr="00AD4445" w:rsidRDefault="00C87CD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4.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r w:rsidR="00A77A76">
        <w:rPr>
          <w:rFonts w:ascii="Arial" w:hAnsi="Arial" w:cs="Arial"/>
          <w:b/>
          <w:sz w:val="24"/>
          <w:szCs w:val="24"/>
          <w:lang w:val="it-IT"/>
        </w:rPr>
        <w:t xml:space="preserve">max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139962C3" w14:textId="77777777" w:rsidR="0022267D" w:rsidRDefault="005D24B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nella prova scritta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40/60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, l’elaborato scritto e/o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il progetto</w:t>
      </w:r>
      <w:r w:rsidR="0022267D"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14:paraId="7E6E9DD7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40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74AA3A7D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dell’elaborato e dei titoli del candidato: chiarezza espositiva, capacità di sintesi e interesse scientifico del curriculum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4192B124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 w:rsidR="00EE0C06">
        <w:rPr>
          <w:rFonts w:ascii="Arial" w:hAnsi="Arial" w:cs="Arial"/>
        </w:rPr>
        <w:t>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14:paraId="33A282ED" w14:textId="77777777"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14:paraId="7C85978F" w14:textId="77777777"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14:paraId="2C144482" w14:textId="77777777"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120/180.</w:t>
      </w:r>
    </w:p>
    <w:p w14:paraId="2094F6EF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0DD20226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3MzS2MLEwMrS0NDBW0lEKTi0uzszPAykwrAUAn98LjiwAAAA="/>
  </w:docVars>
  <w:rsids>
    <w:rsidRoot w:val="00C21399"/>
    <w:rsid w:val="00004A9B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3744ED"/>
    <w:rsid w:val="003F7976"/>
    <w:rsid w:val="00400461"/>
    <w:rsid w:val="0045486D"/>
    <w:rsid w:val="00455E31"/>
    <w:rsid w:val="005577FE"/>
    <w:rsid w:val="005C1F69"/>
    <w:rsid w:val="005D24B0"/>
    <w:rsid w:val="00644ADC"/>
    <w:rsid w:val="006711BF"/>
    <w:rsid w:val="006F76E7"/>
    <w:rsid w:val="00700E61"/>
    <w:rsid w:val="007C02DA"/>
    <w:rsid w:val="007D34D0"/>
    <w:rsid w:val="0087659C"/>
    <w:rsid w:val="00924A5A"/>
    <w:rsid w:val="00937EEE"/>
    <w:rsid w:val="00A5580A"/>
    <w:rsid w:val="00A77A76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DFDE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EC81-2BB2-473C-AFA4-71E21A71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Giorgio Mariani</cp:lastModifiedBy>
  <cp:revision>3</cp:revision>
  <cp:lastPrinted>2014-06-26T23:39:00Z</cp:lastPrinted>
  <dcterms:created xsi:type="dcterms:W3CDTF">2021-05-25T06:17:00Z</dcterms:created>
  <dcterms:modified xsi:type="dcterms:W3CDTF">2021-05-29T11:30:00Z</dcterms:modified>
</cp:coreProperties>
</file>