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rFonts w:ascii="Arial" w:hAnsi="Arial"/>
          <w:b/>
          <w:bCs/>
          <w:sz w:val="40"/>
          <w:szCs w:val="40"/>
          <w:lang w:val="it-IT"/>
        </w:rPr>
        <w:t>Criteri di valutazione per l’esame di ammissione al Dottorato di Ricerca in Diritto pubblico, comparato e internazionale (XXXVI ciclo)</w:t>
      </w:r>
    </w:p>
    <w:p>
      <w:pPr>
        <w:pStyle w:val="Normal"/>
        <w:rPr>
          <w:rFonts w:ascii="Arial" w:hAnsi="Arial" w:eastAsia="Arial" w:cs="Arial"/>
          <w:sz w:val="40"/>
          <w:szCs w:val="40"/>
          <w:lang w:val="it-IT"/>
        </w:rPr>
      </w:pPr>
      <w:r>
        <w:rPr>
          <w:b/>
          <w:bCs/>
        </w:rPr>
      </w:r>
    </w:p>
    <w:p>
      <w:pPr>
        <w:pStyle w:val="Normal"/>
        <w:rPr>
          <w:rFonts w:ascii="Arial" w:hAnsi="Arial" w:eastAsia="Arial" w:cs="Arial"/>
          <w:sz w:val="24"/>
          <w:szCs w:val="24"/>
          <w:lang w:val="it-IT"/>
        </w:rPr>
      </w:pPr>
      <w:r>
        <w:rPr>
          <w:rFonts w:ascii="Arial" w:hAnsi="Arial"/>
          <w:sz w:val="24"/>
          <w:szCs w:val="24"/>
          <w:lang w:val="it-IT"/>
        </w:rPr>
        <w:t>Titoli, progetto e prova orale verranno valutati secondo la seguente griglia di valutazione:</w:t>
      </w:r>
    </w:p>
    <w:p>
      <w:pPr>
        <w:pStyle w:val="Normal"/>
        <w:rPr>
          <w:rFonts w:ascii="Arial" w:hAnsi="Arial" w:eastAsia="Arial" w:cs="Arial"/>
          <w:b/>
          <w:b/>
          <w:bCs/>
          <w:sz w:val="24"/>
          <w:szCs w:val="24"/>
          <w:lang w:val="it-IT"/>
        </w:rPr>
      </w:pPr>
      <w:r>
        <w:rPr>
          <w:rFonts w:ascii="Arial" w:hAnsi="Arial"/>
          <w:b/>
          <w:bCs/>
          <w:sz w:val="24"/>
          <w:szCs w:val="24"/>
          <w:lang w:val="it-IT"/>
        </w:rPr>
        <w:t>1. Titoli (max 15 punti)</w:t>
      </w:r>
    </w:p>
    <w:p>
      <w:pPr>
        <w:pStyle w:val="Normal"/>
        <w:rPr>
          <w:rFonts w:ascii="Arial" w:hAnsi="Arial" w:eastAsia="Arial" w:cs="Arial"/>
          <w:sz w:val="24"/>
          <w:szCs w:val="24"/>
          <w:lang w:val="it-IT"/>
        </w:rPr>
      </w:pPr>
      <w:r>
        <w:rPr>
          <w:rFonts w:ascii="Arial" w:hAnsi="Arial"/>
          <w:sz w:val="24"/>
          <w:szCs w:val="24"/>
          <w:lang w:val="it-IT"/>
        </w:rPr>
        <w:t>1.1 Voto di laurea (magistrale, specialistica o a ciclo unico – max 5 punti)</w:t>
      </w:r>
    </w:p>
    <w:tbl>
      <w:tblPr>
        <w:tblW w:w="9632" w:type="dxa"/>
        <w:jc w:val="left"/>
        <w:tblInd w:w="216" w:type="dxa"/>
        <w:tblCellMar>
          <w:top w:w="80" w:type="dxa"/>
          <w:left w:w="80" w:type="dxa"/>
          <w:bottom w:w="80" w:type="dxa"/>
          <w:right w:w="80" w:type="dxa"/>
        </w:tblCellMar>
      </w:tblPr>
      <w:tblGrid>
        <w:gridCol w:w="5576"/>
        <w:gridCol w:w="4055"/>
      </w:tblGrid>
      <w:tr>
        <w:trPr>
          <w:trHeight w:val="292" w:hRule="atLeast"/>
        </w:trPr>
        <w:tc>
          <w:tcPr>
            <w:tcW w:w="5576"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Arial" w:hAnsi="Arial"/>
                <w:sz w:val="24"/>
                <w:szCs w:val="24"/>
                <w:shd w:fill="auto" w:val="clear"/>
                <w:lang w:val="it-IT"/>
              </w:rPr>
              <w:t>Voto</w:t>
            </w:r>
          </w:p>
        </w:tc>
        <w:tc>
          <w:tcPr>
            <w:tcW w:w="40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ascii="Arial" w:hAnsi="Arial"/>
                <w:sz w:val="24"/>
                <w:szCs w:val="24"/>
                <w:shd w:fill="auto" w:val="clear"/>
                <w:lang w:val="it-IT"/>
              </w:rPr>
              <w:t>Punti</w:t>
            </w:r>
          </w:p>
        </w:tc>
      </w:tr>
      <w:tr>
        <w:trPr>
          <w:trHeight w:val="292" w:hRule="atLeast"/>
        </w:trPr>
        <w:tc>
          <w:tcPr>
            <w:tcW w:w="55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ascii="Arial" w:hAnsi="Arial"/>
                <w:sz w:val="24"/>
                <w:szCs w:val="24"/>
                <w:shd w:fill="auto" w:val="clear"/>
                <w:lang w:val="it-IT"/>
              </w:rPr>
              <w:t>110 e lode</w:t>
            </w:r>
          </w:p>
        </w:tc>
        <w:tc>
          <w:tcPr>
            <w:tcW w:w="40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ascii="Arial" w:hAnsi="Arial"/>
                <w:sz w:val="24"/>
                <w:szCs w:val="24"/>
                <w:shd w:fill="auto" w:val="clear"/>
                <w:lang w:val="it-IT"/>
              </w:rPr>
              <w:t>5</w:t>
            </w:r>
          </w:p>
        </w:tc>
      </w:tr>
      <w:tr>
        <w:trPr>
          <w:trHeight w:val="292" w:hRule="atLeast"/>
        </w:trPr>
        <w:tc>
          <w:tcPr>
            <w:tcW w:w="55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ascii="Arial" w:hAnsi="Arial"/>
                <w:sz w:val="24"/>
                <w:szCs w:val="24"/>
                <w:shd w:fill="auto" w:val="clear"/>
                <w:lang w:val="it-IT"/>
              </w:rPr>
              <w:t>110</w:t>
            </w:r>
          </w:p>
        </w:tc>
        <w:tc>
          <w:tcPr>
            <w:tcW w:w="40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ascii="Arial" w:hAnsi="Arial"/>
                <w:sz w:val="24"/>
                <w:szCs w:val="24"/>
                <w:shd w:fill="auto" w:val="clear"/>
                <w:lang w:val="it-IT"/>
              </w:rPr>
              <w:t>4</w:t>
            </w:r>
          </w:p>
        </w:tc>
      </w:tr>
      <w:tr>
        <w:trPr>
          <w:trHeight w:val="292" w:hRule="atLeast"/>
        </w:trPr>
        <w:tc>
          <w:tcPr>
            <w:tcW w:w="55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ascii="Arial" w:hAnsi="Arial"/>
                <w:sz w:val="24"/>
                <w:szCs w:val="24"/>
                <w:shd w:fill="auto" w:val="clear"/>
                <w:lang w:val="it-IT"/>
              </w:rPr>
              <w:t>108-109</w:t>
            </w:r>
          </w:p>
        </w:tc>
        <w:tc>
          <w:tcPr>
            <w:tcW w:w="405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pPr>
            <w:r>
              <w:rPr>
                <w:rFonts w:ascii="Arial" w:hAnsi="Arial"/>
                <w:sz w:val="24"/>
                <w:szCs w:val="24"/>
                <w:shd w:fill="auto" w:val="clear"/>
                <w:lang w:val="it-IT"/>
              </w:rPr>
              <w:t>2</w:t>
            </w:r>
          </w:p>
        </w:tc>
      </w:tr>
    </w:tbl>
    <w:p>
      <w:pPr>
        <w:pStyle w:val="Normal"/>
        <w:widowControl w:val="false"/>
        <w:spacing w:lineRule="auto" w:line="240"/>
        <w:ind w:left="108" w:right="0" w:hanging="108"/>
        <w:rPr>
          <w:rFonts w:ascii="Arial" w:hAnsi="Arial" w:eastAsia="Arial" w:cs="Arial"/>
          <w:sz w:val="24"/>
          <w:szCs w:val="24"/>
          <w:lang w:val="it-IT"/>
        </w:rPr>
      </w:pPr>
      <w:r>
        <w:rPr>
          <w:rFonts w:eastAsia="Arial" w:cs="Arial" w:ascii="Arial" w:hAnsi="Arial"/>
          <w:sz w:val="24"/>
          <w:szCs w:val="24"/>
          <w:lang w:val="it-IT"/>
        </w:rPr>
      </w:r>
    </w:p>
    <w:p>
      <w:pPr>
        <w:pStyle w:val="Normal"/>
        <w:keepNext w:val="false"/>
        <w:keepLines w:val="false"/>
        <w:pageBreakBefore w:val="false"/>
        <w:widowControl w:val="false"/>
        <w:pBdr/>
        <w:shd w:val="clear" w:color="auto" w:fill="auto"/>
        <w:suppressAutoHyphens w:val="false"/>
        <w:bidi w:val="0"/>
        <w:spacing w:lineRule="auto" w:line="240" w:beforeAutospacing="0" w:before="0" w:afterAutospacing="0" w:after="200"/>
        <w:ind w:left="0" w:right="0" w:hanging="0"/>
        <w:jc w:val="left"/>
        <w:rPr/>
      </w:pPr>
      <w:r>
        <w:rPr>
          <w:rFonts w:eastAsia="Arial" w:cs="Arial" w:ascii="Arial" w:hAnsi="Arial"/>
          <w:sz w:val="24"/>
          <w:szCs w:val="24"/>
          <w:lang w:val="it-IT"/>
        </w:rPr>
        <w:t xml:space="preserve">Gli studenti che discuteranno la tesi prima della data stabilita per la valutazione dei titoli sono tenuti a comunicare al Coordinatore del corso o al Presidente della Commissione il voto di laurea conseguito, mentre coloro che discuteranno la tesi dopo la data stabilita per la valutazione dei titoli, ma comunque prima del 31 ottobre </w:t>
      </w:r>
      <w:r>
        <w:rPr>
          <w:rFonts w:eastAsia="Arial" w:cs="Arial" w:ascii="Arial" w:hAnsi="Arial"/>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it-IT"/>
          <w14:textOutline>
            <w14:noFill/>
          </w14:textOutline>
          <w14:textFill>
            <w14:solidFill>
              <w14:srgbClr w14:val="000000"/>
            </w14:solidFill>
          </w14:textFill>
        </w:rPr>
        <w:t>2020</w:t>
      </w:r>
      <w:r>
        <w:rPr>
          <w:rFonts w:eastAsia="Arial" w:cs="Arial" w:ascii="Arial" w:hAnsi="Arial"/>
          <w:sz w:val="24"/>
          <w:szCs w:val="24"/>
          <w:lang w:val="it-IT"/>
        </w:rPr>
        <w:t>, la griglia al punto 1.1 è sostituita dalla seguente:</w:t>
      </w:r>
    </w:p>
    <w:tbl>
      <w:tblPr>
        <w:tblW w:w="3369" w:type="dxa"/>
        <w:jc w:val="left"/>
        <w:tblInd w:w="5" w:type="dxa"/>
        <w:tblCellMar>
          <w:top w:w="0" w:type="dxa"/>
          <w:left w:w="108" w:type="dxa"/>
          <w:bottom w:w="0" w:type="dxa"/>
          <w:right w:w="108" w:type="dxa"/>
        </w:tblCellMar>
      </w:tblPr>
      <w:tblGrid>
        <w:gridCol w:w="2092"/>
        <w:gridCol w:w="1276"/>
      </w:tblGrid>
      <w:tr>
        <w:trPr/>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lineRule="auto" w:line="276" w:before="0" w:after="200"/>
              <w:ind w:left="0" w:right="0" w:hanging="0"/>
              <w:rPr>
                <w:lang w:val="it-IT"/>
              </w:rPr>
            </w:pPr>
            <w:r>
              <w:rPr>
                <w:rFonts w:cs="Arial" w:ascii="Arial" w:hAnsi="Arial"/>
                <w:sz w:val="24"/>
                <w:szCs w:val="24"/>
                <w:lang w:val="it-IT"/>
              </w:rPr>
              <w:t>Media aritmetica</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lineRule="auto" w:line="276" w:before="0" w:after="200"/>
              <w:ind w:left="0" w:right="0" w:hanging="0"/>
              <w:rPr>
                <w:lang w:val="it-IT"/>
              </w:rPr>
            </w:pPr>
            <w:r>
              <w:rPr>
                <w:rFonts w:cs="Arial" w:ascii="Arial" w:hAnsi="Arial"/>
                <w:sz w:val="24"/>
                <w:szCs w:val="24"/>
                <w:lang w:val="it-IT"/>
              </w:rPr>
              <w:t>Punti</w:t>
            </w:r>
          </w:p>
        </w:tc>
      </w:tr>
      <w:tr>
        <w:trPr/>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it-IT"/>
              </w:rPr>
            </w:pPr>
            <w:r>
              <w:rPr>
                <w:rFonts w:cs="Arial" w:ascii="Arial" w:hAnsi="Arial"/>
                <w:sz w:val="24"/>
                <w:szCs w:val="24"/>
                <w:lang w:val="it-IT"/>
              </w:rPr>
              <w:t>29 - 30</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it-IT"/>
              </w:rPr>
            </w:pPr>
            <w:r>
              <w:rPr>
                <w:rFonts w:cs="Arial" w:ascii="Arial" w:hAnsi="Arial"/>
                <w:sz w:val="24"/>
                <w:szCs w:val="24"/>
                <w:lang w:val="it-IT"/>
              </w:rPr>
              <w:t>5</w:t>
            </w:r>
          </w:p>
        </w:tc>
      </w:tr>
      <w:tr>
        <w:trPr/>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it-IT"/>
              </w:rPr>
            </w:pPr>
            <w:r>
              <w:rPr>
                <w:rFonts w:cs="Arial" w:ascii="Arial" w:hAnsi="Arial"/>
                <w:sz w:val="24"/>
                <w:szCs w:val="24"/>
                <w:lang w:val="it-IT"/>
              </w:rPr>
              <w:t>28 – 28.99</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it-IT"/>
              </w:rPr>
            </w:pPr>
            <w:r>
              <w:rPr>
                <w:rFonts w:cs="Arial" w:ascii="Arial" w:hAnsi="Arial"/>
                <w:sz w:val="24"/>
                <w:szCs w:val="24"/>
                <w:lang w:val="it-IT"/>
              </w:rPr>
              <w:t>4</w:t>
            </w:r>
          </w:p>
        </w:tc>
      </w:tr>
      <w:tr>
        <w:trPr/>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it-IT"/>
              </w:rPr>
            </w:pPr>
            <w:r>
              <w:rPr>
                <w:rFonts w:cs="Arial" w:ascii="Arial" w:hAnsi="Arial"/>
                <w:sz w:val="24"/>
                <w:szCs w:val="24"/>
                <w:lang w:val="it-IT"/>
              </w:rPr>
              <w:t>27 - 27.99</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it-IT"/>
              </w:rPr>
            </w:pPr>
            <w:r>
              <w:rPr>
                <w:rFonts w:cs="Arial" w:ascii="Arial" w:hAnsi="Arial"/>
                <w:sz w:val="24"/>
                <w:szCs w:val="24"/>
                <w:lang w:val="it-IT"/>
              </w:rPr>
              <w:t>3</w:t>
            </w:r>
          </w:p>
        </w:tc>
      </w:tr>
      <w:tr>
        <w:trPr/>
        <w:tc>
          <w:tcPr>
            <w:tcW w:w="2092"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it-IT"/>
              </w:rPr>
            </w:pPr>
            <w:r>
              <w:rPr>
                <w:rFonts w:cs="Arial" w:ascii="Arial" w:hAnsi="Arial"/>
                <w:sz w:val="24"/>
                <w:szCs w:val="24"/>
                <w:lang w:val="it-IT"/>
              </w:rPr>
              <w:t>26 - 26.99</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76" w:before="0" w:after="200"/>
              <w:ind w:left="0" w:right="0" w:hanging="0"/>
              <w:rPr>
                <w:lang w:val="it-IT"/>
              </w:rPr>
            </w:pPr>
            <w:r>
              <w:rPr>
                <w:rFonts w:cs="Arial" w:ascii="Arial" w:hAnsi="Arial"/>
                <w:sz w:val="24"/>
                <w:szCs w:val="24"/>
                <w:lang w:val="it-IT"/>
              </w:rPr>
              <w:t>2</w:t>
            </w:r>
          </w:p>
        </w:tc>
      </w:tr>
    </w:tbl>
    <w:p>
      <w:pPr>
        <w:pStyle w:val="Normal"/>
        <w:bidi w:val="0"/>
        <w:spacing w:lineRule="auto" w:line="276"/>
        <w:ind w:left="0" w:right="0" w:hanging="0"/>
        <w:rPr>
          <w:rFonts w:ascii="Arial" w:hAnsi="Arial" w:cs="Arial"/>
          <w:sz w:val="24"/>
          <w:szCs w:val="24"/>
          <w:lang w:val="it-IT"/>
        </w:rPr>
      </w:pPr>
      <w:r>
        <w:rPr>
          <w:rFonts w:cs="Arial" w:ascii="Arial" w:hAnsi="Arial"/>
          <w:sz w:val="24"/>
          <w:szCs w:val="24"/>
          <w:lang w:val="it-IT"/>
        </w:rPr>
      </w:r>
    </w:p>
    <w:p>
      <w:pPr>
        <w:pStyle w:val="Normal"/>
        <w:rPr>
          <w:rFonts w:ascii="Arial" w:hAnsi="Arial" w:eastAsia="Arial" w:cs="Arial"/>
          <w:sz w:val="24"/>
          <w:szCs w:val="24"/>
          <w:lang w:val="it-IT"/>
        </w:rPr>
      </w:pPr>
      <w:r>
        <w:rPr>
          <w:rFonts w:ascii="Arial" w:hAnsi="Arial"/>
          <w:sz w:val="24"/>
          <w:szCs w:val="24"/>
          <w:lang w:val="it-IT"/>
        </w:rPr>
        <w:t>1.2 Borse di studio, assegni di ricerca, contratti di ricerca: fino a 2 punti</w:t>
      </w:r>
    </w:p>
    <w:p>
      <w:pPr>
        <w:pStyle w:val="Normal"/>
        <w:rPr>
          <w:rFonts w:ascii="Arial" w:hAnsi="Arial" w:eastAsia="Arial" w:cs="Arial"/>
          <w:sz w:val="24"/>
          <w:szCs w:val="24"/>
          <w:lang w:val="it-IT"/>
        </w:rPr>
      </w:pPr>
      <w:r>
        <w:rPr>
          <w:rFonts w:ascii="Arial" w:hAnsi="Arial"/>
          <w:sz w:val="24"/>
          <w:szCs w:val="24"/>
          <w:lang w:val="it-IT"/>
        </w:rPr>
        <w:t>1.3 Master di primo e secondo livello: fino a 2 punti</w:t>
      </w:r>
    </w:p>
    <w:p>
      <w:pPr>
        <w:pStyle w:val="Normal"/>
        <w:rPr>
          <w:rFonts w:ascii="Arial" w:hAnsi="Arial" w:eastAsia="Arial" w:cs="Arial"/>
          <w:sz w:val="24"/>
          <w:szCs w:val="24"/>
          <w:lang w:val="it-IT"/>
        </w:rPr>
      </w:pPr>
      <w:r>
        <w:rPr>
          <w:rFonts w:ascii="Arial" w:hAnsi="Arial"/>
          <w:sz w:val="24"/>
          <w:szCs w:val="24"/>
          <w:lang w:val="it-IT"/>
        </w:rPr>
        <w:t>1.4 Corsi di specializzazione, altri titoli accademici: fino a 4 punti</w:t>
      </w:r>
    </w:p>
    <w:p>
      <w:pPr>
        <w:pStyle w:val="Normal"/>
        <w:rPr>
          <w:rFonts w:ascii="Arial" w:hAnsi="Arial" w:eastAsia="Arial" w:cs="Arial"/>
          <w:sz w:val="24"/>
          <w:szCs w:val="24"/>
          <w:lang w:val="it-IT"/>
        </w:rPr>
      </w:pPr>
      <w:r>
        <w:rPr>
          <w:rFonts w:ascii="Arial" w:hAnsi="Arial"/>
          <w:sz w:val="24"/>
          <w:szCs w:val="24"/>
          <w:lang w:val="it-IT"/>
        </w:rPr>
        <w:t>1.2 Attestati di conoscenza lingue: fino a 2 punti</w:t>
      </w:r>
    </w:p>
    <w:p>
      <w:pPr>
        <w:pStyle w:val="Normal"/>
        <w:rPr>
          <w:rFonts w:ascii="Arial" w:hAnsi="Arial" w:eastAsia="Arial" w:cs="Arial"/>
          <w:sz w:val="24"/>
          <w:szCs w:val="24"/>
          <w:lang w:val="it-IT"/>
        </w:rPr>
      </w:pPr>
      <w:r>
        <w:rPr>
          <w:rFonts w:eastAsia="Arial" w:cs="Arial" w:ascii="Arial" w:hAnsi="Arial"/>
          <w:sz w:val="24"/>
          <w:szCs w:val="24"/>
          <w:lang w:val="it-IT"/>
        </w:rPr>
      </w:r>
    </w:p>
    <w:p>
      <w:pPr>
        <w:pStyle w:val="Normal"/>
        <w:rPr>
          <w:rFonts w:ascii="Arial" w:hAnsi="Arial" w:eastAsia="Arial" w:cs="Arial"/>
          <w:b/>
          <w:b/>
          <w:bCs/>
          <w:sz w:val="24"/>
          <w:szCs w:val="24"/>
          <w:lang w:val="it-IT"/>
        </w:rPr>
      </w:pPr>
      <w:r>
        <w:rPr>
          <w:rFonts w:ascii="Arial" w:hAnsi="Arial"/>
          <w:b/>
          <w:bCs/>
          <w:sz w:val="24"/>
          <w:szCs w:val="24"/>
          <w:lang w:val="it-IT"/>
        </w:rPr>
        <w:t>2. Progetto di ricerca (max 45 punti)</w:t>
      </w:r>
    </w:p>
    <w:p>
      <w:pPr>
        <w:pStyle w:val="Normal"/>
        <w:jc w:val="both"/>
        <w:rPr>
          <w:rFonts w:ascii="Arial" w:hAnsi="Arial" w:eastAsia="Arial" w:cs="Arial"/>
          <w:sz w:val="24"/>
          <w:szCs w:val="24"/>
          <w:lang w:val="it-IT"/>
        </w:rPr>
      </w:pPr>
      <w:r>
        <w:rPr>
          <w:rFonts w:ascii="Arial" w:hAnsi="Arial"/>
          <w:sz w:val="24"/>
          <w:szCs w:val="24"/>
          <w:lang w:val="it-IT"/>
        </w:rPr>
        <w:t>I candidati devono elaborare un progetto di ricerca originale e coerente con il curriculum prescelto nella domanda. Il progetto di ricerca deve essere così articolato: 1. Titolo 2. Stato dell’arte: il candidato deve inquadrare il suo progetto all’interno della letteratura esistente sull’argomento, che dovrà essere attentamente descritta (max 12000 caratteri, spazi inclusi) 3. Programma di ricerca: il candidato deve descrivere accuratamente il suo progetto di ricerca, evidenziandone i tratti di originalità rispetto alla letteratura esistente, e articolandone le fasi di realizzazione previste (max 20.000 caratteri, spazi inclusi). 4. Bibliografia sull’argomento specifico di ricerca (max 30 titoli).</w:t>
      </w:r>
    </w:p>
    <w:p>
      <w:pPr>
        <w:pStyle w:val="Normal"/>
        <w:jc w:val="both"/>
        <w:rPr>
          <w:rFonts w:ascii="Arial" w:hAnsi="Arial" w:eastAsia="Arial" w:cs="Arial"/>
          <w:sz w:val="24"/>
          <w:szCs w:val="24"/>
          <w:lang w:val="it-IT"/>
        </w:rPr>
      </w:pPr>
      <w:r>
        <w:rPr>
          <w:rFonts w:ascii="Arial" w:hAnsi="Arial"/>
          <w:sz w:val="24"/>
          <w:szCs w:val="24"/>
          <w:lang w:val="it-IT"/>
        </w:rPr>
        <w:t>In particolare verranno valutati:</w:t>
      </w:r>
    </w:p>
    <w:p>
      <w:pPr>
        <w:pStyle w:val="ListParagraph"/>
        <w:numPr>
          <w:ilvl w:val="0"/>
          <w:numId w:val="1"/>
        </w:numPr>
        <w:bidi w:val="0"/>
        <w:spacing w:before="0" w:after="0"/>
        <w:ind w:left="720" w:right="0" w:hanging="360"/>
        <w:jc w:val="left"/>
        <w:rPr>
          <w:rFonts w:ascii="Arial" w:hAnsi="Arial"/>
          <w:sz w:val="24"/>
          <w:szCs w:val="24"/>
          <w:lang w:val="it-IT"/>
        </w:rPr>
      </w:pPr>
      <w:r>
        <w:rPr>
          <w:rFonts w:ascii="Arial" w:hAnsi="Arial"/>
          <w:sz w:val="24"/>
          <w:szCs w:val="24"/>
          <w:lang w:val="it-IT"/>
        </w:rPr>
        <w:t xml:space="preserve">Coerenza del progetto con le tematiche del curriculum presento: fino a 15 punti </w:t>
      </w:r>
    </w:p>
    <w:p>
      <w:pPr>
        <w:pStyle w:val="ListParagraph"/>
        <w:numPr>
          <w:ilvl w:val="0"/>
          <w:numId w:val="1"/>
        </w:numPr>
        <w:bidi w:val="0"/>
        <w:spacing w:before="0" w:after="0"/>
        <w:ind w:left="720" w:right="0" w:hanging="360"/>
        <w:jc w:val="left"/>
        <w:rPr>
          <w:rFonts w:ascii="Arial" w:hAnsi="Arial"/>
          <w:sz w:val="24"/>
          <w:szCs w:val="24"/>
          <w:lang w:val="it-IT"/>
        </w:rPr>
      </w:pPr>
      <w:r>
        <w:rPr>
          <w:rFonts w:ascii="Arial" w:hAnsi="Arial"/>
          <w:sz w:val="24"/>
          <w:szCs w:val="24"/>
          <w:lang w:val="it-IT"/>
        </w:rPr>
        <w:t>Adeguata conoscenza della letteratura esistente sull’argomento: fino a 10 punti</w:t>
      </w:r>
    </w:p>
    <w:p>
      <w:pPr>
        <w:pStyle w:val="ListParagraph"/>
        <w:numPr>
          <w:ilvl w:val="0"/>
          <w:numId w:val="1"/>
        </w:numPr>
        <w:bidi w:val="0"/>
        <w:spacing w:before="0" w:after="0"/>
        <w:ind w:left="720" w:right="0" w:hanging="360"/>
        <w:jc w:val="left"/>
        <w:rPr>
          <w:rFonts w:ascii="Arial" w:hAnsi="Arial"/>
          <w:sz w:val="24"/>
          <w:szCs w:val="24"/>
          <w:lang w:val="it-IT"/>
        </w:rPr>
      </w:pPr>
      <w:r>
        <w:rPr>
          <w:rFonts w:ascii="Arial" w:hAnsi="Arial"/>
          <w:sz w:val="24"/>
          <w:szCs w:val="24"/>
          <w:lang w:val="it-IT"/>
        </w:rPr>
        <w:t>Originalità e rilevanza dei risultati attesi: fino a 10 punti</w:t>
      </w:r>
    </w:p>
    <w:p>
      <w:pPr>
        <w:pStyle w:val="ListParagraph"/>
        <w:numPr>
          <w:ilvl w:val="0"/>
          <w:numId w:val="1"/>
        </w:numPr>
        <w:bidi w:val="0"/>
        <w:ind w:left="720" w:right="0" w:hanging="360"/>
        <w:jc w:val="left"/>
        <w:rPr>
          <w:rFonts w:ascii="Arial" w:hAnsi="Arial"/>
          <w:sz w:val="24"/>
          <w:szCs w:val="24"/>
          <w:lang w:val="it-IT"/>
        </w:rPr>
      </w:pPr>
      <w:r>
        <w:rPr>
          <w:rFonts w:ascii="Arial" w:hAnsi="Arial"/>
          <w:sz w:val="24"/>
          <w:szCs w:val="24"/>
          <w:lang w:val="it-IT"/>
        </w:rPr>
        <w:t>Chiarezza e completezza dell’esposizione degli obiettivi, delle metodologie e dei potenziali risultati: fino a 10 punti</w:t>
      </w:r>
    </w:p>
    <w:p>
      <w:pPr>
        <w:pStyle w:val="Normal"/>
        <w:rPr>
          <w:rFonts w:ascii="Arial" w:hAnsi="Arial" w:eastAsia="Arial" w:cs="Arial"/>
          <w:b/>
          <w:b/>
          <w:bCs/>
          <w:sz w:val="24"/>
          <w:szCs w:val="24"/>
          <w:lang w:val="it-IT"/>
        </w:rPr>
      </w:pPr>
      <w:r>
        <w:rPr>
          <w:rFonts w:eastAsia="Arial" w:cs="Arial" w:ascii="Arial" w:hAnsi="Arial"/>
          <w:b/>
          <w:bCs/>
          <w:sz w:val="24"/>
          <w:szCs w:val="24"/>
          <w:lang w:val="it-IT"/>
        </w:rPr>
      </w:r>
    </w:p>
    <w:p>
      <w:pPr>
        <w:pStyle w:val="Normal"/>
        <w:rPr>
          <w:rFonts w:ascii="Arial" w:hAnsi="Arial" w:eastAsia="Arial" w:cs="Arial"/>
          <w:b/>
          <w:b/>
          <w:bCs/>
          <w:sz w:val="24"/>
          <w:szCs w:val="24"/>
          <w:lang w:val="it-IT"/>
        </w:rPr>
      </w:pPr>
      <w:r>
        <w:rPr>
          <w:rFonts w:ascii="Arial" w:hAnsi="Arial"/>
          <w:b/>
          <w:bCs/>
          <w:sz w:val="24"/>
          <w:szCs w:val="24"/>
          <w:lang w:val="it-IT"/>
        </w:rPr>
        <w:t>3. Prova orale (max 60 punti)</w:t>
      </w:r>
    </w:p>
    <w:p>
      <w:pPr>
        <w:pStyle w:val="Normal"/>
        <w:jc w:val="both"/>
        <w:rPr>
          <w:rFonts w:ascii="Arial" w:hAnsi="Arial" w:eastAsia="Arial" w:cs="Arial"/>
          <w:sz w:val="24"/>
          <w:szCs w:val="24"/>
          <w:lang w:val="it-IT"/>
        </w:rPr>
      </w:pPr>
      <w:r>
        <w:rPr>
          <w:rFonts w:ascii="Arial" w:hAnsi="Arial"/>
          <w:sz w:val="24"/>
          <w:szCs w:val="24"/>
          <w:lang w:val="it-IT"/>
        </w:rPr>
        <w:t>Coloro che abbiano riportato una votazione pari ad almeno 40/60 nella selezione iniziale sono ammessi alla prova orale. Nella prova orale saranno accertate le conoscenze degli ambiti disciplinari riferiti al curriculum prescelto e sarà analizzato anche il progetto di ricerca presentato. Durante la prova orale sarà verificata anche la conoscenza di una delle lingue indicate oltre l'italiano. Per il superamento della prova orale il candidato deve ottenere almeno il punteggio di 40/60.</w:t>
      </w:r>
    </w:p>
    <w:p>
      <w:pPr>
        <w:pStyle w:val="Normal"/>
        <w:rPr>
          <w:lang w:val="it-IT"/>
        </w:rPr>
      </w:pPr>
      <w:r>
        <w:rPr>
          <w:rFonts w:ascii="Arial" w:hAnsi="Arial"/>
          <w:sz w:val="24"/>
          <w:szCs w:val="24"/>
          <w:lang w:val="it-IT"/>
        </w:rPr>
        <w:t>I criteri di valutazione sono così ripartiti:</w:t>
      </w:r>
    </w:p>
    <w:p>
      <w:pPr>
        <w:pStyle w:val="Default"/>
        <w:numPr>
          <w:ilvl w:val="0"/>
          <w:numId w:val="2"/>
        </w:numPr>
        <w:bidi w:val="0"/>
        <w:spacing w:lineRule="auto" w:line="276" w:before="0" w:after="0"/>
        <w:ind w:left="720" w:right="0" w:hanging="360"/>
        <w:jc w:val="left"/>
        <w:rPr>
          <w:rFonts w:ascii="Arial" w:hAnsi="Arial"/>
          <w:lang w:val="it-IT"/>
        </w:rPr>
      </w:pPr>
      <w:r>
        <w:rPr>
          <w:rFonts w:ascii="Arial" w:hAnsi="Arial"/>
          <w:lang w:val="it-IT"/>
        </w:rPr>
        <w:t xml:space="preserve">Conoscenza delle materie coerenti con il curriculum scelto: fino a 40 punti; </w:t>
      </w:r>
    </w:p>
    <w:p>
      <w:pPr>
        <w:pStyle w:val="Default"/>
        <w:numPr>
          <w:ilvl w:val="0"/>
          <w:numId w:val="2"/>
        </w:numPr>
        <w:bidi w:val="0"/>
        <w:spacing w:lineRule="auto" w:line="276" w:before="0" w:after="0"/>
        <w:ind w:left="720" w:right="0" w:hanging="360"/>
        <w:jc w:val="left"/>
        <w:rPr>
          <w:rFonts w:ascii="Arial" w:hAnsi="Arial"/>
          <w:lang w:val="it-IT"/>
        </w:rPr>
      </w:pPr>
      <w:r>
        <w:rPr>
          <w:rFonts w:ascii="Arial" w:hAnsi="Arial"/>
          <w:lang w:val="it-IT"/>
        </w:rPr>
        <w:t>Capacità di presentazione del progetto di ricerca e di approfondimento critico delle sue principali implicazioni giuridiche: fino a 15 punti</w:t>
      </w:r>
    </w:p>
    <w:p>
      <w:pPr>
        <w:pStyle w:val="Default"/>
        <w:numPr>
          <w:ilvl w:val="0"/>
          <w:numId w:val="2"/>
        </w:numPr>
        <w:bidi w:val="0"/>
        <w:spacing w:lineRule="auto" w:line="276"/>
        <w:ind w:left="720" w:right="0" w:hanging="360"/>
        <w:jc w:val="left"/>
        <w:rPr>
          <w:rFonts w:ascii="Arial" w:hAnsi="Arial"/>
          <w:lang w:val="it-IT"/>
        </w:rPr>
      </w:pPr>
      <w:r>
        <w:rPr>
          <w:rFonts w:ascii="Arial" w:hAnsi="Arial"/>
          <w:lang w:val="it-IT"/>
        </w:rPr>
        <w:t xml:space="preserve">Conoscenza della lingua straniera fino a 5 punti. </w:t>
      </w:r>
    </w:p>
    <w:p>
      <w:pPr>
        <w:pStyle w:val="Normal"/>
        <w:rPr>
          <w:lang w:val="it-IT"/>
        </w:rPr>
      </w:pPr>
      <w:r>
        <w:rPr>
          <w:lang w:val="it-IT"/>
        </w:rPr>
      </w:r>
    </w:p>
    <w:p>
      <w:pPr>
        <w:pStyle w:val="Normal"/>
        <w:rPr>
          <w:rFonts w:ascii="Arial" w:hAnsi="Arial" w:eastAsia="Arial" w:cs="Arial"/>
          <w:sz w:val="24"/>
          <w:szCs w:val="24"/>
          <w:lang w:val="it-IT"/>
        </w:rPr>
      </w:pPr>
      <w:r>
        <w:rPr>
          <w:rFonts w:ascii="Arial" w:hAnsi="Arial"/>
          <w:sz w:val="24"/>
          <w:szCs w:val="24"/>
          <w:lang w:val="it-IT"/>
        </w:rPr>
        <w:t>La prova si intende superata con un punteggio minimo di 40/60.</w:t>
      </w:r>
    </w:p>
    <w:p>
      <w:pPr>
        <w:pStyle w:val="Normal"/>
        <w:rPr>
          <w:rFonts w:ascii="Arial" w:hAnsi="Arial" w:eastAsia="Arial" w:cs="Arial"/>
          <w:b/>
          <w:b/>
          <w:bCs/>
          <w:sz w:val="24"/>
          <w:szCs w:val="24"/>
          <w:lang w:val="it-IT"/>
        </w:rPr>
      </w:pPr>
      <w:r>
        <w:rPr>
          <w:rFonts w:eastAsia="Arial" w:cs="Arial" w:ascii="Arial" w:hAnsi="Arial"/>
          <w:b/>
          <w:bCs/>
          <w:sz w:val="24"/>
          <w:szCs w:val="24"/>
          <w:lang w:val="it-IT"/>
        </w:rPr>
      </w:r>
    </w:p>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Arial" w:hAnsi="Arial"/>
          <w:b/>
          <w:bCs/>
          <w:sz w:val="24"/>
          <w:szCs w:val="24"/>
          <w:lang w:val="it-IT"/>
        </w:rPr>
        <w:t>Il punteggio minimo complessivo per l’ammissione al dottorato di ricerca è di 80/120.</w:t>
      </w:r>
    </w:p>
    <w:sectPr>
      <w:headerReference w:type="default" r:id="rId2"/>
      <w:footerReference w:type="default" r:id="rId3"/>
      <w:type w:val="nextPage"/>
      <w:pgSz w:w="11906" w:h="16838"/>
      <w:pgMar w:left="1134" w:right="1134" w:header="708" w:top="993" w:footer="708"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Narrow">
    <w:charset w:val="00"/>
    <w:family w:val="roman"/>
    <w:pitch w:val="variable"/>
  </w:font>
  <w:font w:name="Arial">
    <w:charset w:val="00"/>
    <w:family w:val="roman"/>
    <w:pitch w:val="variable"/>
  </w:font>
  <w:font w:name="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1">
      <w:start w:val="1"/>
      <w:numFmt w:val="bullet"/>
      <w:lvlText w:val="o"/>
      <w:lvlJc w:val="left"/>
      <w:pPr>
        <w:ind w:left="144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2">
      <w:start w:val="1"/>
      <w:numFmt w:val="bullet"/>
      <w:lvlText w:val="▪"/>
      <w:lvlJc w:val="left"/>
      <w:pPr>
        <w:ind w:left="21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3">
      <w:start w:val="1"/>
      <w:numFmt w:val="bullet"/>
      <w:lvlText w:val="·"/>
      <w:lvlJc w:val="left"/>
      <w:pPr>
        <w:ind w:left="288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4">
      <w:start w:val="1"/>
      <w:numFmt w:val="bullet"/>
      <w:lvlText w:val="o"/>
      <w:lvlJc w:val="left"/>
      <w:pPr>
        <w:ind w:left="36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6">
      <w:start w:val="1"/>
      <w:numFmt w:val="bullet"/>
      <w:lvlText w:val="·"/>
      <w:lvlJc w:val="left"/>
      <w:pPr>
        <w:ind w:left="504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7">
      <w:start w:val="1"/>
      <w:numFmt w:val="bullet"/>
      <w:lvlText w:val="o"/>
      <w:lvlJc w:val="left"/>
      <w:pPr>
        <w:ind w:left="57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abstractNum>
  <w:abstractNum w:abstractNumId="2">
    <w:lvl w:ilvl="0">
      <w:start w:val="1"/>
      <w:numFmt w:val="bullet"/>
      <w:lvlText w:val="·"/>
      <w:lvlJc w:val="left"/>
      <w:pPr>
        <w:ind w:left="72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1">
      <w:start w:val="1"/>
      <w:numFmt w:val="bullet"/>
      <w:lvlText w:val="o"/>
      <w:lvlJc w:val="left"/>
      <w:pPr>
        <w:ind w:left="144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2">
      <w:start w:val="1"/>
      <w:numFmt w:val="bullet"/>
      <w:lvlText w:val="▪"/>
      <w:lvlJc w:val="left"/>
      <w:pPr>
        <w:ind w:left="21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3">
      <w:start w:val="1"/>
      <w:numFmt w:val="bullet"/>
      <w:lvlText w:val="·"/>
      <w:lvlJc w:val="left"/>
      <w:pPr>
        <w:ind w:left="288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4">
      <w:start w:val="1"/>
      <w:numFmt w:val="bullet"/>
      <w:lvlText w:val="o"/>
      <w:lvlJc w:val="left"/>
      <w:pPr>
        <w:ind w:left="36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5">
      <w:start w:val="1"/>
      <w:numFmt w:val="bullet"/>
      <w:lvlText w:val="▪"/>
      <w:lvlJc w:val="left"/>
      <w:pPr>
        <w:ind w:left="432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6">
      <w:start w:val="1"/>
      <w:numFmt w:val="bullet"/>
      <w:lvlText w:val="·"/>
      <w:lvlJc w:val="left"/>
      <w:pPr>
        <w:ind w:left="504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7">
      <w:start w:val="1"/>
      <w:numFmt w:val="bullet"/>
      <w:lvlText w:val="o"/>
      <w:lvlJc w:val="left"/>
      <w:pPr>
        <w:ind w:left="576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8">
      <w:start w:val="1"/>
      <w:numFmt w:val="bullet"/>
      <w:lvlText w:val="▪"/>
      <w:lvlJc w:val="left"/>
      <w:pPr>
        <w:ind w:left="64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4"/>
        <w:lang w:val="it-IT"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noFill/>
      </w14:textOutline>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qFormat/>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6"/>
      <w:sz w:val="26"/>
      <w:szCs w:val="26"/>
      <w:u w:val="none" w:color="FFFFFF"/>
      <w:shd w:fill="auto" w:val="clear"/>
      <w:vertAlign w:val="baseline"/>
      <w:lang w:val="it-IT" w:eastAsia="zh-CN" w:bidi="hi-IN"/>
      <w14:textOutline>
        <w14:noFill/>
      </w14:textOutline>
      <w14:textFill>
        <w14:solidFill>
          <w14:srgbClr w14:val="000000"/>
        </w14:solidFill>
      </w14:textFill>
    </w:rPr>
  </w:style>
  <w:style w:type="paragraph" w:styleId="ListParagraph">
    <w:name w:val="List Paragraph"/>
    <w:qFormat/>
    <w:pPr>
      <w:keepNext w:val="false"/>
      <w:keepLines w:val="false"/>
      <w:pageBreakBefore w:val="false"/>
      <w:widowControl/>
      <w:pBdr/>
      <w:shd w:val="clear" w:color="auto" w:fill="auto"/>
      <w:suppressAutoHyphens w:val="false"/>
      <w:bidi w:val="0"/>
      <w:spacing w:lineRule="auto" w:line="276" w:beforeAutospacing="0" w:before="0" w:afterAutospacing="0" w:after="200"/>
      <w:ind w:left="72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Default">
    <w:name w:val="Default"/>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Arial Narrow" w:hAnsi="Arial Narrow"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it-IT" w:eastAsia="zh-CN" w:bidi="hi-IN"/>
      <w14:textFill>
        <w14:solidFill>
          <w14:srgbClr w14:val="000000"/>
        </w14:solidFill>
      </w14:textFill>
    </w:rPr>
  </w:style>
  <w:style w:type="paragraph" w:styleId="Intestazione">
    <w:name w:val="Header"/>
    <w:basedOn w:val="Intestazioneepidipagina"/>
    <w:pPr/>
    <w:rPr/>
  </w:style>
  <w:style w:type="paragraph" w:styleId="Pidipagina">
    <w:name w:val="Footer"/>
    <w:basedOn w:val="Intestazioneepidipagina"/>
    <w:pPr/>
    <w:rPr/>
  </w:style>
  <w:style w:type="paragraph" w:styleId="DocumentMap">
    <w:name w:val="DocumentMap"/>
    <w:qFormat/>
    <w:pPr>
      <w:keepNext w:val="false"/>
      <w:keepLines w:val="false"/>
      <w:pageBreakBefore w:val="false"/>
      <w:widowControl/>
      <w:pBdr/>
      <w:shd w:val="clear" w:color="auto" w:fill="auto"/>
      <w:bidi w:val="0"/>
      <w:spacing w:lineRule="auto" w:line="276" w:before="0" w:after="200"/>
      <w:ind w:left="0" w:right="0" w:hanging="0"/>
      <w:jc w:val="left"/>
      <w:textAlignment w:val="auto"/>
    </w:pPr>
    <w:rPr>
      <w:rFonts w:ascii="Calibri" w:hAnsi="Calibri" w:eastAsia="Cambria Math"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2"/>
      <w:sz w:val="22"/>
      <w:szCs w:val="22"/>
      <w:u w:val="none" w:color="FFFFFF"/>
      <w:vertAlign w:val="baseline"/>
      <w:lang w:val="it-IT" w:eastAsia="en-US" w:bidi="ar-SA"/>
    </w:rPr>
  </w:style>
  <w:style w:type="paragraph" w:styleId="TableGrid">
    <w:name w:val="Table Grid"/>
    <w:basedOn w:val="DocumentMap"/>
    <w:qFormat/>
    <w:pPr>
      <w:spacing w:lineRule="auto" w:line="240" w:beforeAutospacing="0" w:before="0" w:afterAutospacing="0" w:after="0"/>
    </w:pPr>
    <w:rPr>
      <w:lang w:val="it-IT"/>
    </w:rPr>
  </w:style>
  <w:style w:type="numbering" w:styleId="NoList" w:default="1">
    <w:name w:val="No List"/>
    <w:qFormat/>
  </w:style>
  <w:style w:type="numbering" w:styleId="Stileimportato1">
    <w:name w:val="Stile importato 1"/>
    <w:qFormat/>
  </w:style>
  <w:style w:type="numbering" w:styleId="Stileimportato3">
    <w:name w:val="Stile importato 3"/>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Times New Roman"/>
        <a:ea typeface="Times New Roman"/>
        <a:cs typeface="Times New Roman"/>
      </a:majorFont>
      <a:minorFont>
        <a:latin typeface="Times New Roman"/>
        <a:ea typeface="Times New Roman"/>
        <a:cs typeface="Times New Roman"/>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4</TotalTime>
  <Application>LibreOffice/6.3.4.2$Windows_X86_64 LibreOffice_project/60da17e045e08f1793c57c00ba83cdfce946d0aa</Application>
  <Pages>2</Pages>
  <Words>499</Words>
  <Characters>2705</Characters>
  <CharactersWithSpaces>3160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2020-06-18T15:45:05Z</dcterms:modified>
  <cp:revision>1</cp:revision>
  <dc:subject/>
  <dc:title/>
</cp:coreProperties>
</file>