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159" w:rsidRPr="00BE5533" w:rsidRDefault="00051159" w:rsidP="00051159">
      <w:pPr>
        <w:spacing w:after="0"/>
        <w:contextualSpacing/>
        <w:jc w:val="center"/>
        <w:rPr>
          <w:rFonts w:cstheme="minorHAnsi"/>
          <w:b/>
          <w:lang w:val="en-US"/>
        </w:rPr>
      </w:pPr>
      <w:r w:rsidRPr="00BE5533">
        <w:rPr>
          <w:rFonts w:cstheme="minorHAnsi"/>
          <w:b/>
          <w:lang w:val="en-US"/>
        </w:rPr>
        <w:t xml:space="preserve">EVALUATION CRITERIA FOR THE ADMISSION TO THE PHD COURSE IN LIFE SCIENCES </w:t>
      </w:r>
    </w:p>
    <w:p w:rsidR="00051159" w:rsidRPr="00BE5533" w:rsidRDefault="00051159" w:rsidP="00051159">
      <w:pPr>
        <w:spacing w:after="0"/>
        <w:contextualSpacing/>
        <w:jc w:val="center"/>
        <w:rPr>
          <w:rFonts w:cstheme="minorHAnsi"/>
          <w:b/>
          <w:lang w:val="en-US"/>
        </w:rPr>
      </w:pPr>
      <w:r w:rsidRPr="00BE5533">
        <w:rPr>
          <w:rFonts w:cstheme="minorHAnsi"/>
          <w:b/>
          <w:lang w:val="en-US"/>
        </w:rPr>
        <w:t>(XXXVI cycle)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  <w:r w:rsidRPr="00BE5533">
        <w:rPr>
          <w:rFonts w:cstheme="minorHAnsi"/>
          <w:color w:val="000000"/>
          <w:lang w:eastAsia="ja-JP"/>
        </w:rPr>
        <w:t xml:space="preserve">The documents in English or in Italian as detailed in the call published on the web site </w:t>
      </w:r>
      <w:hyperlink r:id="rId5" w:history="1">
        <w:r w:rsidRPr="00BE5533">
          <w:rPr>
            <w:rFonts w:eastAsia="Times New Roman" w:cstheme="minorHAnsi"/>
            <w:color w:val="0000FF"/>
            <w:u w:val="single"/>
            <w:lang w:val="en-US" w:eastAsia="it-IT"/>
          </w:rPr>
          <w:t>https://phd.uniroma1.it/web/SCIENZE-DELLA-VITA_nD3539_IT.aspx</w:t>
        </w:r>
      </w:hyperlink>
      <w:r w:rsidRPr="00BE5533">
        <w:rPr>
          <w:rFonts w:eastAsia="Times New Roman" w:cstheme="minorHAnsi"/>
          <w:lang w:val="en-US" w:eastAsia="it-IT"/>
        </w:rPr>
        <w:t xml:space="preserve"> </w:t>
      </w:r>
      <w:r w:rsidRPr="00BE5533">
        <w:rPr>
          <w:rFonts w:cstheme="minorHAnsi"/>
          <w:color w:val="000000"/>
          <w:lang w:eastAsia="ja-JP"/>
        </w:rPr>
        <w:t xml:space="preserve">must be uploaded </w:t>
      </w:r>
      <w:r w:rsidR="002217FE">
        <w:rPr>
          <w:rFonts w:cstheme="minorHAnsi"/>
          <w:color w:val="000000"/>
          <w:lang w:eastAsia="ja-JP"/>
        </w:rPr>
        <w:t>during the application</w:t>
      </w:r>
      <w:bookmarkStart w:id="0" w:name="_GoBack"/>
      <w:bookmarkEnd w:id="0"/>
      <w:r w:rsidRPr="00BE5533">
        <w:rPr>
          <w:rFonts w:cstheme="minorHAnsi"/>
          <w:color w:val="000000"/>
          <w:lang w:eastAsia="ja-JP"/>
        </w:rPr>
        <w:t xml:space="preserve"> by the deadline indicated in the call.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  <w:r w:rsidRPr="00BE5533">
        <w:rPr>
          <w:rFonts w:cstheme="minorHAnsi"/>
          <w:color w:val="000000"/>
          <w:lang w:eastAsia="ja-JP"/>
        </w:rPr>
        <w:t>The evaluation of the documents and of the interview will be as detailed below (and in Annex 1 attached).</w:t>
      </w:r>
    </w:p>
    <w:p w:rsidR="00051159" w:rsidRPr="00BE5533" w:rsidRDefault="00051159" w:rsidP="0005115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color w:val="000000"/>
          <w:lang w:eastAsia="ja-JP"/>
        </w:rPr>
      </w:pPr>
      <w:r w:rsidRPr="00BE5533">
        <w:rPr>
          <w:rFonts w:cstheme="minorHAnsi"/>
          <w:b/>
          <w:color w:val="000000"/>
          <w:u w:val="single"/>
          <w:lang w:eastAsia="ja-JP"/>
        </w:rPr>
        <w:t>Evaluation of the documents, including CV and letters: max 60 points.</w:t>
      </w:r>
      <w:r w:rsidRPr="00BE5533">
        <w:rPr>
          <w:rFonts w:cstheme="minorHAnsi"/>
          <w:color w:val="000000"/>
          <w:lang w:eastAsia="ja-JP"/>
        </w:rPr>
        <w:t xml:space="preserve"> 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val="en-US" w:eastAsia="it-IT"/>
        </w:rPr>
      </w:pPr>
      <w:r w:rsidRPr="00BE5533">
        <w:rPr>
          <w:rFonts w:eastAsiaTheme="minorEastAsia" w:cstheme="minorHAnsi"/>
          <w:lang w:val="en-US" w:eastAsia="it-IT"/>
        </w:rPr>
        <w:t>The evaluation will take place in accordance with the following assessment criteria defined by the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val="en-US" w:eastAsia="it-IT"/>
        </w:rPr>
      </w:pPr>
      <w:r w:rsidRPr="00BE5533">
        <w:rPr>
          <w:rFonts w:eastAsiaTheme="minorEastAsia" w:cstheme="minorHAnsi"/>
          <w:lang w:val="en-US" w:eastAsia="it-IT"/>
        </w:rPr>
        <w:t>Board of the PhD Program: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lang w:val="en-US" w:eastAsia="it-IT"/>
        </w:rPr>
      </w:pPr>
      <w:r w:rsidRPr="00BE5533">
        <w:rPr>
          <w:rFonts w:eastAsiaTheme="minorEastAsia" w:cstheme="minorHAnsi"/>
          <w:lang w:val="en-US" w:eastAsia="it-IT"/>
        </w:rPr>
        <w:t xml:space="preserve">1. Academic transcripts (detailed exams, grades, completion dates, graduation date and score). </w:t>
      </w:r>
      <w:r w:rsidRPr="00BE5533">
        <w:rPr>
          <w:rFonts w:eastAsiaTheme="minorEastAsia" w:cstheme="minorHAnsi"/>
          <w:b/>
          <w:bCs/>
          <w:lang w:val="en-US" w:eastAsia="it-IT"/>
        </w:rPr>
        <w:t>Up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lang w:val="en-US" w:eastAsia="it-IT"/>
        </w:rPr>
      </w:pPr>
      <w:r w:rsidRPr="00BE5533">
        <w:rPr>
          <w:rFonts w:eastAsiaTheme="minorEastAsia" w:cstheme="minorHAnsi"/>
          <w:b/>
          <w:bCs/>
          <w:lang w:val="en-US" w:eastAsia="it-IT"/>
        </w:rPr>
        <w:t>to 40 points.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val="en-US" w:eastAsia="it-IT"/>
        </w:rPr>
      </w:pPr>
      <w:r w:rsidRPr="00BE5533">
        <w:rPr>
          <w:rFonts w:eastAsiaTheme="minorEastAsia" w:cstheme="minorHAnsi"/>
          <w:lang w:val="en-US" w:eastAsia="it-IT"/>
        </w:rPr>
        <w:t>2. Curriculum vitae. Please indicate clearly other appropriately certified publications, honors,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lang w:val="en-US" w:eastAsia="it-IT"/>
        </w:rPr>
      </w:pPr>
      <w:r w:rsidRPr="00BE5533">
        <w:rPr>
          <w:rFonts w:eastAsiaTheme="minorEastAsia" w:cstheme="minorHAnsi"/>
          <w:lang w:val="en-US" w:eastAsia="it-IT"/>
        </w:rPr>
        <w:t xml:space="preserve">awards, or qualifications. </w:t>
      </w:r>
      <w:r w:rsidRPr="00BE5533">
        <w:rPr>
          <w:rFonts w:eastAsiaTheme="minorEastAsia" w:cstheme="minorHAnsi"/>
          <w:b/>
          <w:bCs/>
          <w:lang w:val="en-US" w:eastAsia="it-IT"/>
        </w:rPr>
        <w:t>Up to 5 points.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val="en-US" w:eastAsia="it-IT"/>
        </w:rPr>
      </w:pPr>
      <w:r w:rsidRPr="00BE5533">
        <w:rPr>
          <w:rFonts w:eastAsiaTheme="minorEastAsia" w:cstheme="minorHAnsi"/>
          <w:lang w:val="en-US" w:eastAsia="it-IT"/>
        </w:rPr>
        <w:t>3. Letter of motivation. The candidate should briefly describe previous research experience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val="en-US" w:eastAsia="it-IT"/>
        </w:rPr>
      </w:pPr>
      <w:r w:rsidRPr="00BE5533">
        <w:rPr>
          <w:rFonts w:eastAsiaTheme="minorEastAsia" w:cstheme="minorHAnsi"/>
          <w:lang w:val="en-US" w:eastAsia="it-IT"/>
        </w:rPr>
        <w:t>(including thesis, meeting presentations or posters) and prospective scientific interests (within the 3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val="en-US" w:eastAsia="it-IT"/>
        </w:rPr>
      </w:pPr>
      <w:r w:rsidRPr="00BE5533">
        <w:rPr>
          <w:rFonts w:eastAsiaTheme="minorEastAsia" w:cstheme="minorHAnsi"/>
          <w:lang w:val="en-US" w:eastAsia="it-IT"/>
        </w:rPr>
        <w:t xml:space="preserve">possible curricula of the PhD school). </w:t>
      </w:r>
      <w:r w:rsidRPr="00BE5533">
        <w:rPr>
          <w:rFonts w:eastAsiaTheme="minorEastAsia" w:cstheme="minorHAnsi"/>
          <w:b/>
          <w:bCs/>
          <w:lang w:val="en-US" w:eastAsia="it-IT"/>
        </w:rPr>
        <w:t>Up to 10 points.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val="en-US" w:eastAsia="it-IT"/>
        </w:rPr>
      </w:pPr>
      <w:r w:rsidRPr="00BE5533">
        <w:rPr>
          <w:rFonts w:eastAsiaTheme="minorEastAsia" w:cstheme="minorHAnsi"/>
          <w:lang w:val="en-US" w:eastAsia="it-IT"/>
        </w:rPr>
        <w:t>4. Letter(s) of recommendation supporting the candidate (max two). It should be clear from the letter why the</w:t>
      </w:r>
      <w:r>
        <w:rPr>
          <w:rFonts w:eastAsiaTheme="minorEastAsia" w:cstheme="minorHAnsi"/>
          <w:lang w:val="en-US" w:eastAsia="it-IT"/>
        </w:rPr>
        <w:t xml:space="preserve"> </w:t>
      </w:r>
      <w:r w:rsidRPr="00BE5533">
        <w:rPr>
          <w:rFonts w:eastAsiaTheme="minorEastAsia" w:cstheme="minorHAnsi"/>
          <w:lang w:val="en-US" w:eastAsia="it-IT"/>
        </w:rPr>
        <w:t xml:space="preserve">reviewer is able to evaluate the candidate. </w:t>
      </w:r>
      <w:r w:rsidRPr="00BE5533">
        <w:rPr>
          <w:rFonts w:eastAsiaTheme="minorEastAsia" w:cstheme="minorHAnsi"/>
          <w:b/>
          <w:bCs/>
          <w:lang w:val="en-US" w:eastAsia="it-IT"/>
        </w:rPr>
        <w:t>Up to 5 points.</w:t>
      </w:r>
    </w:p>
    <w:p w:rsidR="00051159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eastAsia="ja-JP"/>
        </w:rPr>
      </w:pPr>
      <w:r w:rsidRPr="00BE5533">
        <w:rPr>
          <w:rFonts w:cstheme="minorHAnsi"/>
          <w:color w:val="000000"/>
          <w:lang w:eastAsia="ja-JP"/>
        </w:rPr>
        <w:t>The candidates whose overall score will be higher than or equal to 40 out of 60 will be short-listed, ranked according to their total qualifications merit score, and invited for an interview</w:t>
      </w:r>
      <w:r w:rsidR="00244966">
        <w:rPr>
          <w:rFonts w:cstheme="minorHAnsi"/>
          <w:color w:val="000000"/>
          <w:lang w:eastAsia="ja-JP"/>
        </w:rPr>
        <w:t xml:space="preserve"> (face-to-face or remote)</w:t>
      </w:r>
      <w:r w:rsidRPr="00BE5533">
        <w:rPr>
          <w:rFonts w:cstheme="minorHAnsi"/>
          <w:color w:val="000000"/>
          <w:lang w:eastAsia="ja-JP"/>
        </w:rPr>
        <w:t>.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  <w:r>
        <w:rPr>
          <w:rFonts w:cstheme="minorHAnsi"/>
          <w:color w:val="000000"/>
          <w:lang w:eastAsia="ja-JP"/>
        </w:rPr>
        <w:t>The invitation for the interview will be published on the website of the PhD Course. No personal invitation will be sent.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  <w:r w:rsidRPr="00BE5533">
        <w:rPr>
          <w:rFonts w:cstheme="minorHAnsi"/>
          <w:b/>
          <w:color w:val="000000"/>
          <w:u w:val="single"/>
          <w:lang w:eastAsia="ja-JP"/>
        </w:rPr>
        <w:t>2. Evaluation of the interview: max 60 points.</w:t>
      </w:r>
      <w:r w:rsidRPr="00BE5533">
        <w:rPr>
          <w:rFonts w:cstheme="minorHAnsi"/>
          <w:color w:val="000000"/>
          <w:lang w:eastAsia="ja-JP"/>
        </w:rPr>
        <w:t xml:space="preserve"> The interview, in Italian or English</w:t>
      </w:r>
      <w:r w:rsidR="00244966">
        <w:rPr>
          <w:rFonts w:cstheme="minorHAnsi"/>
          <w:color w:val="000000"/>
          <w:lang w:eastAsia="ja-JP"/>
        </w:rPr>
        <w:t xml:space="preserve"> (candidate’s choice)</w:t>
      </w:r>
      <w:r w:rsidRPr="00BE5533">
        <w:rPr>
          <w:rFonts w:cstheme="minorHAnsi"/>
          <w:color w:val="000000"/>
          <w:lang w:eastAsia="ja-JP"/>
        </w:rPr>
        <w:t>, is aimed to assess the candidate background, skills, and potential to carry out research in the scientific areas of the PhD Programme. During the interview, the evaluation Committee: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  <w:r w:rsidRPr="00BE5533">
        <w:rPr>
          <w:rFonts w:cstheme="minorHAnsi"/>
          <w:color w:val="000000"/>
          <w:lang w:eastAsia="ja-JP"/>
        </w:rPr>
        <w:t>• will ask to discuss the research statement and personal motivations for applying to the PhD Programme and verify the background in life sciences;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  <w:r w:rsidRPr="00BE5533">
        <w:rPr>
          <w:rFonts w:cstheme="minorHAnsi"/>
          <w:color w:val="000000"/>
          <w:lang w:eastAsia="ja-JP"/>
        </w:rPr>
        <w:t>• will conduct an in-depth discussion of the qualifications of the candidate.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  <w:r w:rsidRPr="00BE5533">
        <w:rPr>
          <w:rFonts w:cstheme="minorHAnsi"/>
          <w:color w:val="000000"/>
          <w:lang w:eastAsia="ja-JP"/>
        </w:rPr>
        <w:t>• Given that English is the official language of the course, the candidate’s proficiency in this language will be evaluated.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  <w:r w:rsidRPr="00BE5533">
        <w:rPr>
          <w:rFonts w:cstheme="minorHAnsi"/>
          <w:color w:val="000000"/>
          <w:lang w:eastAsia="ja-JP"/>
        </w:rPr>
        <w:t>For the second phase, the evaluation Committee assigns a score of up to 60 points. A score of at least 40 is required for admission.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  <w:r w:rsidRPr="00BE5533">
        <w:rPr>
          <w:rFonts w:cstheme="minorHAnsi"/>
          <w:color w:val="000000"/>
          <w:lang w:eastAsia="ja-JP"/>
        </w:rPr>
        <w:t>The minimal global score for the admission to the PhD school is 80/120.</w:t>
      </w: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</w:p>
    <w:p w:rsidR="00051159" w:rsidRPr="00BE5533" w:rsidRDefault="00051159" w:rsidP="0005115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  <w:lang w:eastAsia="ja-JP"/>
        </w:rPr>
      </w:pPr>
    </w:p>
    <w:p w:rsidR="00051159" w:rsidRPr="00BE5533" w:rsidRDefault="00051159" w:rsidP="00051159">
      <w:pPr>
        <w:spacing w:after="0"/>
        <w:contextualSpacing/>
        <w:rPr>
          <w:rFonts w:cstheme="minorHAnsi"/>
          <w:lang w:val="en-US"/>
        </w:rPr>
      </w:pPr>
    </w:p>
    <w:p w:rsidR="00051159" w:rsidRPr="00BE5533" w:rsidRDefault="00051159" w:rsidP="00051159">
      <w:pPr>
        <w:spacing w:after="0" w:line="240" w:lineRule="auto"/>
        <w:rPr>
          <w:rFonts w:cstheme="minorHAnsi"/>
        </w:rPr>
      </w:pPr>
    </w:p>
    <w:p w:rsidR="00051159" w:rsidRDefault="00051159" w:rsidP="00051159">
      <w:pPr>
        <w:spacing w:after="0" w:line="240" w:lineRule="auto"/>
        <w:rPr>
          <w:rFonts w:cstheme="minorHAnsi"/>
        </w:rPr>
      </w:pPr>
      <w:r w:rsidRPr="00BE5533">
        <w:rPr>
          <w:rFonts w:cstheme="minorHAnsi"/>
        </w:rPr>
        <w:br w:type="page"/>
      </w:r>
    </w:p>
    <w:p w:rsidR="0018352C" w:rsidRPr="00BE5533" w:rsidRDefault="0018352C" w:rsidP="00051159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ANNEX 1- EVALUATION GRID</w:t>
      </w:r>
    </w:p>
    <w:p w:rsidR="005632C1" w:rsidRDefault="00B073F1">
      <w:r>
        <w:rPr>
          <w:rFonts w:cstheme="minorHAnsi"/>
          <w:noProof/>
          <w:lang w:val="it-IT"/>
        </w:rPr>
        <w:drawing>
          <wp:inline distT="0" distB="0" distL="0" distR="0" wp14:anchorId="5F61DEA8" wp14:editId="48A7BFE7">
            <wp:extent cx="6116320" cy="865537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NTEGGI-2020-revised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5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2C1" w:rsidSect="0022331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204F2"/>
    <w:multiLevelType w:val="hybridMultilevel"/>
    <w:tmpl w:val="8ECA5F9C"/>
    <w:lvl w:ilvl="0" w:tplc="15802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59"/>
    <w:rsid w:val="00051159"/>
    <w:rsid w:val="0018352C"/>
    <w:rsid w:val="002217FE"/>
    <w:rsid w:val="0022331B"/>
    <w:rsid w:val="00244966"/>
    <w:rsid w:val="008C3507"/>
    <w:rsid w:val="00B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0649"/>
  <w15:chartTrackingRefBased/>
  <w15:docId w15:val="{BFCFC9EF-33F4-644C-9F83-5D0DB6C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159"/>
    <w:pPr>
      <w:spacing w:after="200" w:line="276" w:lineRule="auto"/>
    </w:pPr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phd.uniroma1.it/web/SCIENZE-DELLA-VITA_nD3539_I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CUTRUZZOLA</dc:creator>
  <cp:keywords/>
  <dc:description/>
  <cp:lastModifiedBy>FRANCESCA CUTRUZZOLA</cp:lastModifiedBy>
  <cp:revision>5</cp:revision>
  <dcterms:created xsi:type="dcterms:W3CDTF">2020-06-02T10:41:00Z</dcterms:created>
  <dcterms:modified xsi:type="dcterms:W3CDTF">2020-06-11T12:53:00Z</dcterms:modified>
</cp:coreProperties>
</file>